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5EB96" w14:textId="1A57DD44" w:rsidR="00730E69" w:rsidRPr="00794DF2" w:rsidRDefault="00E34999" w:rsidP="00F94A9B">
      <w:pPr>
        <w:pStyle w:val="STANDARDSBOARD"/>
        <w:rPr>
          <w:sz w:val="2"/>
          <w:szCs w:val="2"/>
        </w:rPr>
      </w:pPr>
      <w:r w:rsidRPr="00730E69">
        <w:drawing>
          <wp:anchor distT="0" distB="0" distL="114300" distR="114300" simplePos="0" relativeHeight="251660288" behindDoc="0" locked="0" layoutInCell="1" allowOverlap="1" wp14:anchorId="283B81BB" wp14:editId="306A3099">
            <wp:simplePos x="0" y="0"/>
            <wp:positionH relativeFrom="column">
              <wp:posOffset>4848225</wp:posOffset>
            </wp:positionH>
            <wp:positionV relativeFrom="page">
              <wp:posOffset>523875</wp:posOffset>
            </wp:positionV>
            <wp:extent cx="1466850" cy="1123950"/>
            <wp:effectExtent l="0" t="0" r="0" b="0"/>
            <wp:wrapSquare wrapText="bothSides"/>
            <wp:docPr id="2" name="Picture 1">
              <a:extLst xmlns:a="http://schemas.openxmlformats.org/drawingml/2006/main">
                <a:ext uri="{FF2B5EF4-FFF2-40B4-BE49-F238E27FC236}">
                  <a16:creationId xmlns:a16="http://schemas.microsoft.com/office/drawing/2014/main" id="{F9CE4B71-395F-4ECF-90EA-96436AA6B2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CE4B71-395F-4ECF-90EA-96436AA6B254}"/>
                        </a:ext>
                      </a:extLst>
                    </pic:cNvPr>
                    <pic:cNvPicPr>
                      <a:picLocks noChangeAspect="1"/>
                    </pic:cNvPicPr>
                  </pic:nvPicPr>
                  <pic:blipFill>
                    <a:blip r:embed="rId11"/>
                    <a:stretch>
                      <a:fillRect/>
                    </a:stretch>
                  </pic:blipFill>
                  <pic:spPr>
                    <a:xfrm>
                      <a:off x="0" y="0"/>
                      <a:ext cx="1466850" cy="1123950"/>
                    </a:xfrm>
                    <a:prstGeom prst="rect">
                      <a:avLst/>
                    </a:prstGeom>
                  </pic:spPr>
                </pic:pic>
              </a:graphicData>
            </a:graphic>
            <wp14:sizeRelH relativeFrom="page">
              <wp14:pctWidth>0</wp14:pctWidth>
            </wp14:sizeRelH>
            <wp14:sizeRelV relativeFrom="page">
              <wp14:pctHeight>0</wp14:pctHeight>
            </wp14:sizeRelV>
          </wp:anchor>
        </w:drawing>
      </w:r>
      <w:r w:rsidR="007322A0" w:rsidRPr="00730E69">
        <mc:AlternateContent>
          <mc:Choice Requires="wps">
            <w:drawing>
              <wp:anchor distT="0" distB="0" distL="114300" distR="114300" simplePos="0" relativeHeight="251659264" behindDoc="1" locked="0" layoutInCell="1" allowOverlap="1" wp14:anchorId="4B6F47FE" wp14:editId="4303CF3D">
                <wp:simplePos x="0" y="0"/>
                <wp:positionH relativeFrom="column">
                  <wp:posOffset>-913765</wp:posOffset>
                </wp:positionH>
                <wp:positionV relativeFrom="paragraph">
                  <wp:posOffset>-799214</wp:posOffset>
                </wp:positionV>
                <wp:extent cx="7623175" cy="2296160"/>
                <wp:effectExtent l="0" t="0" r="0" b="8890"/>
                <wp:wrapNone/>
                <wp:docPr id="11" name="Rectangle 11"/>
                <wp:cNvGraphicFramePr/>
                <a:graphic xmlns:a="http://schemas.openxmlformats.org/drawingml/2006/main">
                  <a:graphicData uri="http://schemas.microsoft.com/office/word/2010/wordprocessingShape">
                    <wps:wsp>
                      <wps:cNvSpPr/>
                      <wps:spPr>
                        <a:xfrm>
                          <a:off x="0" y="0"/>
                          <a:ext cx="7623175" cy="22961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FD6E" id="Rectangle 11" o:spid="_x0000_s1026" style="position:absolute;margin-left:-71.95pt;margin-top:-62.95pt;width:600.25pt;height:1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" fillcolor="#25285f [3215]" stroked="f" strokeweight="1pt"/>
            </w:pict>
          </mc:Fallback>
        </mc:AlternateContent>
      </w:r>
      <w:r w:rsidR="00F94A9B" w:rsidRPr="00F94A9B">
        <w:rPr>
          <w:sz w:val="44"/>
          <w:szCs w:val="44"/>
        </w:rPr>
        <w:t xml:space="preserve">The Alternative Investment Standards – </w:t>
      </w:r>
      <w:r w:rsidR="00141281">
        <w:rPr>
          <w:sz w:val="44"/>
          <w:szCs w:val="44"/>
        </w:rPr>
        <w:t>Operational Due Diligence</w:t>
      </w:r>
      <w:r w:rsidR="00F004F8" w:rsidRPr="00794DF2">
        <w:rPr>
          <w:sz w:val="52"/>
          <w:szCs w:val="52"/>
        </w:rPr>
        <w:br/>
      </w:r>
    </w:p>
    <w:p w14:paraId="4B8330FE" w14:textId="110597FF" w:rsidR="00512129" w:rsidRDefault="00512129" w:rsidP="006F29C2">
      <w:pPr>
        <w:ind w:left="98"/>
        <w:jc w:val="left"/>
      </w:pPr>
      <w:bookmarkStart w:id="0" w:name="_Appendix_IV_-"/>
      <w:bookmarkEnd w:id="0"/>
    </w:p>
    <w:p w14:paraId="1EA4DEE4" w14:textId="36078EB8" w:rsidR="00F94A9B" w:rsidRDefault="00F94A9B" w:rsidP="006F29C2">
      <w:pPr>
        <w:ind w:left="98"/>
        <w:jc w:val="left"/>
      </w:pPr>
    </w:p>
    <w:p w14:paraId="1086199B" w14:textId="77777777" w:rsidR="005C3C2B" w:rsidRDefault="005C3C2B" w:rsidP="005C3C2B"/>
    <w:p w14:paraId="6C7335CE" w14:textId="3E38BD39" w:rsidR="00B7663D" w:rsidRDefault="00B7663D" w:rsidP="00B7663D">
      <w:pPr>
        <w:pStyle w:val="Heading1"/>
      </w:pPr>
      <w:r>
        <w:t xml:space="preserve">1. </w:t>
      </w:r>
      <w:r w:rsidR="008378BA">
        <w:t>The Alternative Investment Standards – Operational Due Diligence</w:t>
      </w:r>
    </w:p>
    <w:p w14:paraId="7DCC1663" w14:textId="167B1D55" w:rsidR="00B7663D" w:rsidRDefault="00B7663D" w:rsidP="00141281">
      <w:pPr>
        <w:spacing w:after="0"/>
      </w:pPr>
    </w:p>
    <w:p w14:paraId="5F490B77" w14:textId="77777777" w:rsidR="008378BA" w:rsidRPr="000A323B" w:rsidRDefault="008378BA" w:rsidP="008378BA">
      <w:pPr>
        <w:rPr>
          <w:bCs/>
          <w:lang w:val="en-US"/>
        </w:rPr>
      </w:pPr>
      <w:r w:rsidRPr="000A323B">
        <w:rPr>
          <w:bCs/>
          <w:lang w:val="en-US"/>
        </w:rPr>
        <w:t xml:space="preserve">Operational Due Diligence can be one of the toughest parts of investor due diligence for small and emerging managers. Whilst there is an understanding of proportionality (for example, considering size) there is still an expectation of robust governance, procedures, and controls. The </w:t>
      </w:r>
      <w:r>
        <w:rPr>
          <w:bCs/>
          <w:lang w:val="en-US"/>
        </w:rPr>
        <w:t>Standards</w:t>
      </w:r>
      <w:r w:rsidRPr="000A323B">
        <w:rPr>
          <w:bCs/>
          <w:lang w:val="en-US"/>
        </w:rPr>
        <w:t xml:space="preserve"> cover a vast spectrum of governance topics including valuation, operational risk, outsourcing, fund governance and shareholder conduct.</w:t>
      </w:r>
    </w:p>
    <w:p w14:paraId="0C210280" w14:textId="6A66261F" w:rsidR="00B7663D" w:rsidRDefault="00B7663D" w:rsidP="00B7663D">
      <w:r>
        <w:t xml:space="preserve">The SBAI’s Alternative Investment Standards </w:t>
      </w:r>
      <w:r w:rsidR="00C071A9">
        <w:t xml:space="preserve">(“Standards”) </w:t>
      </w:r>
      <w:r>
        <w:t xml:space="preserve">have </w:t>
      </w:r>
      <w:r w:rsidR="00E440EA">
        <w:t xml:space="preserve">been developed over-time through extensive consultation with asset managers </w:t>
      </w:r>
      <w:r w:rsidR="0026742F">
        <w:t xml:space="preserve">and allocators. </w:t>
      </w:r>
      <w:r w:rsidR="00C071A9">
        <w:t xml:space="preserve">The Standards address key issues relating </w:t>
      </w:r>
      <w:r w:rsidR="007F0BA3">
        <w:t xml:space="preserve">to alternative investment practices covering the areas of, disclosure, valuation, risk management, fund governance and </w:t>
      </w:r>
      <w:r w:rsidR="0053600B">
        <w:t>shareholders’</w:t>
      </w:r>
      <w:r w:rsidR="007F0BA3">
        <w:t xml:space="preserve"> conduct.</w:t>
      </w:r>
      <w:r w:rsidR="00874F25">
        <w:t xml:space="preserve"> This document contains the Standards related to Operational Due Diligence and any relevant appendices.</w:t>
      </w:r>
    </w:p>
    <w:p w14:paraId="6BD168AC" w14:textId="720B9943" w:rsidR="00874F25" w:rsidRDefault="00874F25" w:rsidP="00874F25">
      <w:pPr>
        <w:spacing w:after="0"/>
        <w:rPr>
          <w:b/>
          <w:bCs/>
          <w:color w:val="000000" w:themeColor="text1"/>
        </w:rPr>
      </w:pPr>
      <w:r w:rsidRPr="008A349D">
        <w:rPr>
          <w:b/>
          <w:bCs/>
        </w:rPr>
        <w:t xml:space="preserve">Note that the below are a sub-set of the full standards that are relevant to </w:t>
      </w:r>
      <w:r>
        <w:rPr>
          <w:b/>
          <w:bCs/>
        </w:rPr>
        <w:t xml:space="preserve">this </w:t>
      </w:r>
      <w:r w:rsidRPr="008A349D">
        <w:rPr>
          <w:b/>
          <w:bCs/>
        </w:rPr>
        <w:t xml:space="preserve">area. A copy of the full standards that signatories are required to adopt on a comply or explain basis can be </w:t>
      </w:r>
      <w:r w:rsidRPr="008A349D">
        <w:rPr>
          <w:b/>
          <w:bCs/>
          <w:color w:val="000000" w:themeColor="text1"/>
        </w:rPr>
        <w:t xml:space="preserve">found </w:t>
      </w:r>
      <w:hyperlink r:id="rId12" w:history="1">
        <w:r w:rsidRPr="008A349D">
          <w:rPr>
            <w:rStyle w:val="Hyperlink"/>
            <w:b/>
            <w:bCs/>
            <w:color w:val="000000" w:themeColor="text1"/>
          </w:rPr>
          <w:t>here</w:t>
        </w:r>
      </w:hyperlink>
      <w:r w:rsidRPr="008A349D">
        <w:rPr>
          <w:b/>
          <w:bCs/>
          <w:color w:val="000000" w:themeColor="text1"/>
        </w:rPr>
        <w:t>.</w:t>
      </w:r>
    </w:p>
    <w:p w14:paraId="420383F8" w14:textId="77777777" w:rsidR="00874F25" w:rsidRPr="00874F25" w:rsidRDefault="00874F25" w:rsidP="00874F25">
      <w:pPr>
        <w:spacing w:after="0"/>
        <w:rPr>
          <w:b/>
          <w:bCs/>
          <w:color w:val="000000" w:themeColor="text1"/>
        </w:rPr>
      </w:pPr>
    </w:p>
    <w:p w14:paraId="45E57115" w14:textId="2F6C8A8A" w:rsidR="000A323B" w:rsidRPr="00874F25" w:rsidRDefault="007F0BA3" w:rsidP="00874F25">
      <w:r>
        <w:t xml:space="preserve">The Standards are complemented by the </w:t>
      </w:r>
      <w:r w:rsidR="0053600B">
        <w:t xml:space="preserve">SBAI Toolbox (“Toolbox”). The Toolbox contains </w:t>
      </w:r>
      <w:r w:rsidR="00372E8C">
        <w:t xml:space="preserve">transparency tools and guidance memos; however, are not part of the standards that signatories sign up to upon joining the SBAI. These Toolbox memos are designed to provide further insight </w:t>
      </w:r>
      <w:r w:rsidR="008A349D">
        <w:t xml:space="preserve">into </w:t>
      </w:r>
      <w:r w:rsidR="00141281">
        <w:t>areas</w:t>
      </w:r>
      <w:r w:rsidR="008A349D">
        <w:t xml:space="preserve"> including providing investors with questions to ask during investor due diligence meetings.</w:t>
      </w:r>
    </w:p>
    <w:p w14:paraId="081BAF59" w14:textId="179C1199" w:rsidR="008451E6" w:rsidRDefault="008451E6" w:rsidP="008451E6">
      <w:r>
        <w:t>The following Toolbox Memos may provide additional insight into meeting these Standards:</w:t>
      </w:r>
    </w:p>
    <w:p w14:paraId="595BEBE1" w14:textId="3B7AEAB7" w:rsidR="00597F02" w:rsidRDefault="00B74EBE" w:rsidP="00B74EBE">
      <w:pPr>
        <w:pStyle w:val="Heading3"/>
      </w:pPr>
      <w:r>
        <w:t>Transparency Tools</w:t>
      </w:r>
    </w:p>
    <w:p w14:paraId="2F2EF321" w14:textId="7E2A746C" w:rsidR="00B74EBE" w:rsidRPr="00AE325B" w:rsidRDefault="001F7CB0" w:rsidP="00B74EBE">
      <w:pPr>
        <w:pStyle w:val="ListParagraph"/>
        <w:numPr>
          <w:ilvl w:val="0"/>
          <w:numId w:val="12"/>
        </w:numPr>
        <w:rPr>
          <w:bCs w:val="0"/>
          <w:color w:val="25285F" w:themeColor="text2"/>
        </w:rPr>
      </w:pPr>
      <w:hyperlink r:id="rId13" w:history="1">
        <w:r w:rsidR="00B74EBE" w:rsidRPr="00AE325B">
          <w:rPr>
            <w:rStyle w:val="Hyperlink"/>
            <w:bCs w:val="0"/>
            <w:color w:val="25285F" w:themeColor="text2"/>
          </w:rPr>
          <w:t>Administrator Transparency Report</w:t>
        </w:r>
      </w:hyperlink>
    </w:p>
    <w:p w14:paraId="04C614F6" w14:textId="65E229D9" w:rsidR="00B74EBE" w:rsidRPr="00AE325B" w:rsidRDefault="001F7CB0" w:rsidP="00B74EBE">
      <w:pPr>
        <w:pStyle w:val="ListParagraph"/>
        <w:numPr>
          <w:ilvl w:val="0"/>
          <w:numId w:val="12"/>
        </w:numPr>
        <w:rPr>
          <w:bCs w:val="0"/>
          <w:color w:val="25285F" w:themeColor="text2"/>
        </w:rPr>
      </w:pPr>
      <w:hyperlink r:id="rId14" w:history="1">
        <w:r w:rsidR="008C79E6" w:rsidRPr="00AE325B">
          <w:rPr>
            <w:rStyle w:val="Hyperlink"/>
            <w:bCs w:val="0"/>
            <w:color w:val="25285F" w:themeColor="text2"/>
          </w:rPr>
          <w:t>Standardised Trial Data Licence</w:t>
        </w:r>
      </w:hyperlink>
    </w:p>
    <w:p w14:paraId="1EC186F0" w14:textId="30B96617" w:rsidR="008C79E6" w:rsidRPr="00AE325B" w:rsidRDefault="001F7CB0" w:rsidP="00B74EBE">
      <w:pPr>
        <w:pStyle w:val="ListParagraph"/>
        <w:numPr>
          <w:ilvl w:val="0"/>
          <w:numId w:val="12"/>
        </w:numPr>
        <w:rPr>
          <w:bCs w:val="0"/>
          <w:color w:val="25285F" w:themeColor="text2"/>
        </w:rPr>
      </w:pPr>
      <w:hyperlink r:id="rId15" w:history="1">
        <w:r w:rsidR="008C79E6" w:rsidRPr="00AE325B">
          <w:rPr>
            <w:rStyle w:val="Hyperlink"/>
            <w:bCs w:val="0"/>
            <w:color w:val="25285F" w:themeColor="text2"/>
          </w:rPr>
          <w:t>Standardised Board Agenda</w:t>
        </w:r>
      </w:hyperlink>
    </w:p>
    <w:p w14:paraId="2C5F7CBB" w14:textId="3B867D8E" w:rsidR="008C79E6" w:rsidRPr="00AE325B" w:rsidRDefault="001F7CB0" w:rsidP="00B74EBE">
      <w:pPr>
        <w:pStyle w:val="ListParagraph"/>
        <w:numPr>
          <w:ilvl w:val="0"/>
          <w:numId w:val="12"/>
        </w:numPr>
        <w:rPr>
          <w:bCs w:val="0"/>
          <w:color w:val="25285F" w:themeColor="text2"/>
        </w:rPr>
      </w:pPr>
      <w:hyperlink r:id="rId16" w:history="1">
        <w:r w:rsidR="008C79E6" w:rsidRPr="00AE325B">
          <w:rPr>
            <w:rStyle w:val="Hyperlink"/>
            <w:bCs w:val="0"/>
            <w:color w:val="25285F" w:themeColor="text2"/>
          </w:rPr>
          <w:t>Standard Total Expense Ratio</w:t>
        </w:r>
      </w:hyperlink>
    </w:p>
    <w:p w14:paraId="0667136B" w14:textId="77777777" w:rsidR="008C79E6" w:rsidRDefault="008C79E6" w:rsidP="008C79E6">
      <w:pPr>
        <w:spacing w:after="0"/>
      </w:pPr>
    </w:p>
    <w:p w14:paraId="538A33E8" w14:textId="36EE29C5" w:rsidR="008C79E6" w:rsidRDefault="008C79E6" w:rsidP="008C79E6">
      <w:pPr>
        <w:pStyle w:val="Heading3"/>
      </w:pPr>
      <w:r>
        <w:t>Toolbox Guidance and Best Practice Memos</w:t>
      </w:r>
    </w:p>
    <w:p w14:paraId="2BE0C36B" w14:textId="159AD8C0" w:rsidR="008D4203" w:rsidRPr="00E67A21" w:rsidRDefault="001F7CB0" w:rsidP="008C79E6">
      <w:pPr>
        <w:pStyle w:val="ListParagraph"/>
        <w:numPr>
          <w:ilvl w:val="0"/>
          <w:numId w:val="12"/>
        </w:numPr>
        <w:rPr>
          <w:bCs w:val="0"/>
          <w:color w:val="25285F" w:themeColor="text2"/>
        </w:rPr>
      </w:pPr>
      <w:hyperlink r:id="rId17" w:history="1">
        <w:r w:rsidR="008D4203" w:rsidRPr="00E67A21">
          <w:rPr>
            <w:rStyle w:val="Hyperlink"/>
            <w:bCs w:val="0"/>
            <w:color w:val="25285F" w:themeColor="text2"/>
          </w:rPr>
          <w:t>Cyber Security</w:t>
        </w:r>
      </w:hyperlink>
    </w:p>
    <w:p w14:paraId="6BABADBD" w14:textId="63B64463" w:rsidR="008D4203" w:rsidRPr="00E67A21" w:rsidRDefault="001F7CB0" w:rsidP="008C79E6">
      <w:pPr>
        <w:pStyle w:val="ListParagraph"/>
        <w:numPr>
          <w:ilvl w:val="0"/>
          <w:numId w:val="12"/>
        </w:numPr>
        <w:rPr>
          <w:bCs w:val="0"/>
          <w:color w:val="25285F" w:themeColor="text2"/>
        </w:rPr>
      </w:pPr>
      <w:hyperlink r:id="rId18" w:history="1">
        <w:r w:rsidR="008D4203" w:rsidRPr="00E67A21">
          <w:rPr>
            <w:rStyle w:val="Hyperlink"/>
            <w:bCs w:val="0"/>
            <w:color w:val="25285F" w:themeColor="text2"/>
          </w:rPr>
          <w:t>Cash Handling and Cyber Security</w:t>
        </w:r>
      </w:hyperlink>
    </w:p>
    <w:p w14:paraId="778A3D40" w14:textId="70AB72FF" w:rsidR="008D4203" w:rsidRPr="00E67A21" w:rsidRDefault="001F7CB0" w:rsidP="008C79E6">
      <w:pPr>
        <w:pStyle w:val="ListParagraph"/>
        <w:numPr>
          <w:ilvl w:val="0"/>
          <w:numId w:val="12"/>
        </w:numPr>
        <w:rPr>
          <w:bCs w:val="0"/>
          <w:color w:val="25285F" w:themeColor="text2"/>
        </w:rPr>
      </w:pPr>
      <w:hyperlink r:id="rId19" w:history="1">
        <w:r w:rsidR="008D4203" w:rsidRPr="00E67A21">
          <w:rPr>
            <w:rStyle w:val="Hyperlink"/>
            <w:bCs w:val="0"/>
            <w:color w:val="25285F" w:themeColor="text2"/>
          </w:rPr>
          <w:t>Conflicts of Interest in Parallel Funds</w:t>
        </w:r>
      </w:hyperlink>
    </w:p>
    <w:p w14:paraId="264DEF56" w14:textId="302F99EB" w:rsidR="008D4203" w:rsidRPr="00E67A21" w:rsidRDefault="001F7CB0" w:rsidP="008C79E6">
      <w:pPr>
        <w:pStyle w:val="ListParagraph"/>
        <w:numPr>
          <w:ilvl w:val="0"/>
          <w:numId w:val="12"/>
        </w:numPr>
        <w:rPr>
          <w:bCs w:val="0"/>
          <w:color w:val="25285F" w:themeColor="text2"/>
        </w:rPr>
      </w:pPr>
      <w:hyperlink r:id="rId20" w:history="1">
        <w:r w:rsidR="008D4203" w:rsidRPr="00E67A21">
          <w:rPr>
            <w:rStyle w:val="Hyperlink"/>
            <w:bCs w:val="0"/>
            <w:color w:val="25285F" w:themeColor="text2"/>
          </w:rPr>
          <w:t>Co-Investments</w:t>
        </w:r>
      </w:hyperlink>
    </w:p>
    <w:p w14:paraId="77F63B4C" w14:textId="67E1AF0D" w:rsidR="008C79E6" w:rsidRPr="00E67A21" w:rsidRDefault="001F7CB0" w:rsidP="008C79E6">
      <w:pPr>
        <w:pStyle w:val="ListParagraph"/>
        <w:numPr>
          <w:ilvl w:val="0"/>
          <w:numId w:val="12"/>
        </w:numPr>
        <w:rPr>
          <w:bCs w:val="0"/>
          <w:color w:val="25285F" w:themeColor="text2"/>
        </w:rPr>
      </w:pPr>
      <w:hyperlink r:id="rId21" w:history="1">
        <w:r w:rsidR="008C79E6" w:rsidRPr="00E67A21">
          <w:rPr>
            <w:rStyle w:val="Hyperlink"/>
            <w:bCs w:val="0"/>
            <w:color w:val="25285F" w:themeColor="text2"/>
          </w:rPr>
          <w:t>Alternative Credit – Fund Structuring</w:t>
        </w:r>
      </w:hyperlink>
    </w:p>
    <w:p w14:paraId="3C4DC1A7" w14:textId="25A5D29C" w:rsidR="008C79E6" w:rsidRPr="00E67A21" w:rsidRDefault="001F7CB0" w:rsidP="008C79E6">
      <w:pPr>
        <w:pStyle w:val="ListParagraph"/>
        <w:numPr>
          <w:ilvl w:val="0"/>
          <w:numId w:val="12"/>
        </w:numPr>
        <w:rPr>
          <w:bCs w:val="0"/>
          <w:color w:val="25285F" w:themeColor="text2"/>
        </w:rPr>
      </w:pPr>
      <w:hyperlink r:id="rId22" w:history="1">
        <w:r w:rsidR="008C79E6" w:rsidRPr="00E67A21">
          <w:rPr>
            <w:rStyle w:val="Hyperlink"/>
            <w:bCs w:val="0"/>
            <w:color w:val="25285F" w:themeColor="text2"/>
          </w:rPr>
          <w:t>Alternative Credit – Valuation</w:t>
        </w:r>
      </w:hyperlink>
    </w:p>
    <w:p w14:paraId="57CBA8F7" w14:textId="5BE0025F" w:rsidR="008C79E6" w:rsidRPr="00E67A21" w:rsidRDefault="001F7CB0" w:rsidP="008C79E6">
      <w:pPr>
        <w:pStyle w:val="ListParagraph"/>
        <w:numPr>
          <w:ilvl w:val="0"/>
          <w:numId w:val="12"/>
        </w:numPr>
        <w:rPr>
          <w:bCs w:val="0"/>
          <w:color w:val="25285F" w:themeColor="text2"/>
        </w:rPr>
      </w:pPr>
      <w:hyperlink r:id="rId23" w:history="1">
        <w:r w:rsidR="008C79E6" w:rsidRPr="00E67A21">
          <w:rPr>
            <w:rStyle w:val="Hyperlink"/>
            <w:bCs w:val="0"/>
            <w:color w:val="25285F" w:themeColor="text2"/>
          </w:rPr>
          <w:t>Alternative Credit – Conflicts of Interest</w:t>
        </w:r>
      </w:hyperlink>
    </w:p>
    <w:p w14:paraId="70D91868" w14:textId="23A8C1C4" w:rsidR="008C79E6" w:rsidRPr="00E67A21" w:rsidRDefault="001F7CB0" w:rsidP="00605512">
      <w:pPr>
        <w:pStyle w:val="ListParagraph"/>
        <w:numPr>
          <w:ilvl w:val="0"/>
          <w:numId w:val="12"/>
        </w:numPr>
        <w:rPr>
          <w:bCs w:val="0"/>
          <w:color w:val="25285F" w:themeColor="text2"/>
        </w:rPr>
      </w:pPr>
      <w:hyperlink r:id="rId24" w:history="1">
        <w:r w:rsidR="008D4203" w:rsidRPr="00E67A21">
          <w:rPr>
            <w:rStyle w:val="Hyperlink"/>
            <w:bCs w:val="0"/>
            <w:color w:val="25285F" w:themeColor="text2"/>
          </w:rPr>
          <w:t>ILS - Valuation</w:t>
        </w:r>
      </w:hyperlink>
    </w:p>
    <w:p w14:paraId="66DBD064" w14:textId="2391B8E1" w:rsidR="00F94A9B" w:rsidRDefault="002B28AE" w:rsidP="00F94A9B">
      <w:pPr>
        <w:pStyle w:val="Heading1"/>
      </w:pPr>
      <w:r>
        <w:lastRenderedPageBreak/>
        <w:t>2</w:t>
      </w:r>
      <w:r w:rsidR="00F94A9B">
        <w:t xml:space="preserve">. </w:t>
      </w:r>
      <w:r w:rsidR="00B7663D">
        <w:t>Introducing the Standards</w:t>
      </w:r>
    </w:p>
    <w:p w14:paraId="3361CA50" w14:textId="77777777" w:rsidR="00B9390B" w:rsidRDefault="00B9390B" w:rsidP="00B9390B">
      <w:pPr>
        <w:spacing w:after="0"/>
      </w:pPr>
    </w:p>
    <w:p w14:paraId="286E4B4F" w14:textId="418200B4" w:rsidR="002B6DB1" w:rsidRDefault="002B6DB1" w:rsidP="002B6DB1">
      <w:r>
        <w:t xml:space="preserve">The Standards encompass a wide array of </w:t>
      </w:r>
      <w:r w:rsidR="00715EE0">
        <w:t>functions and the standards detailed below represent those that are most applicable to Operational Due Diligence</w:t>
      </w:r>
      <w:r w:rsidR="002A32F0">
        <w:t xml:space="preserve"> (ODD)</w:t>
      </w:r>
      <w:r w:rsidR="00715EE0">
        <w:t xml:space="preserve">. Other parts of the Standards will be included </w:t>
      </w:r>
      <w:r w:rsidR="002A32F0">
        <w:t>in the companion documents covering Investment Due Diligence (IDD) and Risk Management (Risk):</w:t>
      </w:r>
    </w:p>
    <w:p w14:paraId="22C64F66" w14:textId="12B04572" w:rsidR="002A32F0" w:rsidRDefault="00A232A4" w:rsidP="002B6DB1">
      <w:r w:rsidRPr="00A232A4">
        <w:drawing>
          <wp:inline distT="0" distB="0" distL="0" distR="0" wp14:anchorId="0F64E103" wp14:editId="4984D9E5">
            <wp:extent cx="5836920" cy="32226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36920" cy="3222625"/>
                    </a:xfrm>
                    <a:prstGeom prst="rect">
                      <a:avLst/>
                    </a:prstGeom>
                  </pic:spPr>
                </pic:pic>
              </a:graphicData>
            </a:graphic>
          </wp:inline>
        </w:drawing>
      </w:r>
    </w:p>
    <w:p w14:paraId="3A98C228" w14:textId="596D71B8" w:rsidR="00F94A9B" w:rsidRDefault="00B9390B" w:rsidP="00B9390B">
      <w:pPr>
        <w:pStyle w:val="Heading2"/>
        <w:spacing w:before="0"/>
      </w:pPr>
      <w:r>
        <w:t>2</w:t>
      </w:r>
      <w:r w:rsidR="00F94A9B">
        <w:t>.1 How to read the Standards</w:t>
      </w:r>
      <w:r w:rsidR="0093596D">
        <w:t>:</w:t>
      </w:r>
    </w:p>
    <w:p w14:paraId="51E6681C" w14:textId="581BB918" w:rsidR="00F94A9B" w:rsidRDefault="00F94A9B" w:rsidP="00F94A9B">
      <w:pPr>
        <w:jc w:val="left"/>
      </w:pPr>
      <w:r>
        <w:t xml:space="preserve">The Standards are set out in a consistent format in blue shaded boxes throughout this document. The formatting of the text within the boxes is differentiated to reflect the following elements: </w:t>
      </w:r>
    </w:p>
    <w:p w14:paraId="0F34E1E0" w14:textId="45BA8656" w:rsidR="00F94A9B" w:rsidRDefault="00F94A9B" w:rsidP="00F94A9B">
      <w:pPr>
        <w:pStyle w:val="ListParagraph"/>
        <w:numPr>
          <w:ilvl w:val="0"/>
          <w:numId w:val="9"/>
        </w:numPr>
        <w:spacing w:after="0"/>
      </w:pPr>
      <w:r>
        <w:t xml:space="preserve">The Standards </w:t>
      </w:r>
      <w:r w:rsidRPr="00F94A9B">
        <w:rPr>
          <w:b/>
          <w:bCs w:val="0"/>
        </w:rPr>
        <w:t>(in bold)</w:t>
      </w:r>
    </w:p>
    <w:p w14:paraId="7ACA10D5" w14:textId="34CA4B70" w:rsidR="00F94A9B" w:rsidRDefault="00F94A9B" w:rsidP="00F94A9B">
      <w:pPr>
        <w:pStyle w:val="ListParagraph"/>
        <w:numPr>
          <w:ilvl w:val="0"/>
          <w:numId w:val="9"/>
        </w:numPr>
        <w:spacing w:after="0"/>
      </w:pPr>
      <w:r>
        <w:t>Additional guidance and examples which are intended to assist and illustrate how compliance might be achieved (in normal text)</w:t>
      </w:r>
    </w:p>
    <w:p w14:paraId="34F4C001" w14:textId="1BF10C0C" w:rsidR="00F94A9B" w:rsidRDefault="00F94A9B" w:rsidP="00F94A9B">
      <w:pPr>
        <w:pStyle w:val="ListParagraph"/>
        <w:numPr>
          <w:ilvl w:val="0"/>
          <w:numId w:val="9"/>
        </w:numPr>
        <w:spacing w:after="0"/>
      </w:pPr>
      <w:r>
        <w:t xml:space="preserve">Explanations and comments </w:t>
      </w:r>
      <w:r w:rsidRPr="00F94A9B">
        <w:rPr>
          <w:i/>
          <w:iCs/>
        </w:rPr>
        <w:t>(in italic).</w:t>
      </w:r>
    </w:p>
    <w:p w14:paraId="39A95E55" w14:textId="3BB90958" w:rsidR="00F94A9B" w:rsidRDefault="00F94A9B" w:rsidP="00F94A9B">
      <w:pPr>
        <w:pStyle w:val="ListParagraph"/>
        <w:numPr>
          <w:ilvl w:val="0"/>
          <w:numId w:val="9"/>
        </w:numPr>
        <w:spacing w:before="0" w:after="0"/>
      </w:pPr>
      <w:r>
        <w:t>A fund manager means an alternative investment manager that became a signatory to the Standards</w:t>
      </w:r>
    </w:p>
    <w:p w14:paraId="44A85999" w14:textId="77777777" w:rsidR="00B9390B" w:rsidRDefault="00B9390B" w:rsidP="00B9390B">
      <w:pPr>
        <w:spacing w:after="0"/>
      </w:pPr>
    </w:p>
    <w:p w14:paraId="203F44C6" w14:textId="2A2DE410" w:rsidR="00F94A9B" w:rsidRDefault="00F94A9B" w:rsidP="00B9390B">
      <w:pPr>
        <w:pStyle w:val="Heading2"/>
        <w:spacing w:before="0"/>
      </w:pPr>
      <w:r w:rsidRPr="00F94A9B">
        <w:t>Illustration</w:t>
      </w:r>
    </w:p>
    <w:p w14:paraId="3D930A83" w14:textId="77777777" w:rsidR="00F94A9B" w:rsidRPr="00F94A9B" w:rsidRDefault="00F94A9B" w:rsidP="00F94A9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1E0" w:firstRow="1" w:lastRow="1" w:firstColumn="1" w:lastColumn="1" w:noHBand="0" w:noVBand="0"/>
      </w:tblPr>
      <w:tblGrid>
        <w:gridCol w:w="9182"/>
      </w:tblGrid>
      <w:tr w:rsidR="00F94A9B" w:rsidRPr="00B7546F" w14:paraId="549908B4" w14:textId="77777777" w:rsidTr="00D368D3">
        <w:trPr>
          <w:trHeight w:val="2571"/>
        </w:trPr>
        <w:tc>
          <w:tcPr>
            <w:tcW w:w="9464" w:type="dxa"/>
            <w:shd w:val="clear" w:color="auto" w:fill="F7F9FB" w:themeFill="accent1" w:themeFillTint="33"/>
          </w:tcPr>
          <w:p w14:paraId="363E3653" w14:textId="77777777" w:rsidR="00F94A9B" w:rsidRPr="00B7546F" w:rsidRDefault="00F94A9B" w:rsidP="00D368D3">
            <w:pPr>
              <w:pStyle w:val="TableBullet1"/>
              <w:tabs>
                <w:tab w:val="clear" w:pos="2629"/>
                <w:tab w:val="num" w:pos="360"/>
              </w:tabs>
              <w:ind w:left="360"/>
              <w:rPr>
                <w:b/>
                <w:sz w:val="24"/>
                <w:lang w:val="en-GB"/>
              </w:rPr>
            </w:pPr>
            <w:r w:rsidRPr="00B7546F">
              <w:rPr>
                <w:b/>
                <w:sz w:val="24"/>
                <w:lang w:val="en-GB"/>
              </w:rPr>
              <w:t xml:space="preserve">The Standard is set out in bold </w:t>
            </w:r>
            <w:proofErr w:type="gramStart"/>
            <w:r w:rsidRPr="00B7546F">
              <w:rPr>
                <w:b/>
                <w:sz w:val="24"/>
                <w:lang w:val="en-GB"/>
              </w:rPr>
              <w:t>text</w:t>
            </w:r>
            <w:proofErr w:type="gramEnd"/>
          </w:p>
          <w:p w14:paraId="0BB6D231" w14:textId="77777777" w:rsidR="00F94A9B" w:rsidRPr="00B7546F" w:rsidRDefault="00F94A9B" w:rsidP="00D368D3">
            <w:pPr>
              <w:pStyle w:val="BodyTextIndent"/>
            </w:pPr>
            <w:r w:rsidRPr="00B7546F">
              <w:t>- Lists of relevant sub-items which form part of the Standard are set out in bold text.</w:t>
            </w:r>
          </w:p>
          <w:p w14:paraId="7FAA5293" w14:textId="2725B74C" w:rsidR="00F94A9B" w:rsidRPr="00B7546F" w:rsidRDefault="00F94A9B" w:rsidP="00D368D3">
            <w:pPr>
              <w:ind w:left="360"/>
            </w:pPr>
            <w:r w:rsidRPr="00B7546F">
              <w:t xml:space="preserve">Guidance on the Standard (and references to useful additional guidance, </w:t>
            </w:r>
            <w:r w:rsidR="00E67A21" w:rsidRPr="00B7546F">
              <w:t>e.g.,</w:t>
            </w:r>
            <w:r w:rsidRPr="00B7546F">
              <w:t xml:space="preserve"> materials published by AIMA and IOSCO) and examples of how the Standard might be complied with are set out in normal text.</w:t>
            </w:r>
          </w:p>
          <w:p w14:paraId="442EDB1F" w14:textId="77777777" w:rsidR="00F94A9B" w:rsidRPr="00B7546F" w:rsidRDefault="00F94A9B" w:rsidP="00D368D3">
            <w:pPr>
              <w:ind w:left="360"/>
              <w:rPr>
                <w:i/>
              </w:rPr>
            </w:pPr>
            <w:r w:rsidRPr="00B7546F">
              <w:rPr>
                <w:i/>
              </w:rPr>
              <w:t>Additional explanation and commentary to enhance understanding is set out in italics.</w:t>
            </w:r>
          </w:p>
        </w:tc>
      </w:tr>
    </w:tbl>
    <w:p w14:paraId="7CC8039B" w14:textId="454CDB4D" w:rsidR="00F94A9B" w:rsidRDefault="00F94A9B" w:rsidP="00F94A9B">
      <w:pPr>
        <w:spacing w:after="0"/>
      </w:pPr>
    </w:p>
    <w:p w14:paraId="460C3BE9" w14:textId="1076AD20" w:rsidR="00890C29" w:rsidRDefault="00D200C1" w:rsidP="00F94A9B">
      <w:pPr>
        <w:pStyle w:val="Heading2"/>
      </w:pPr>
      <w:r>
        <w:lastRenderedPageBreak/>
        <w:t>2</w:t>
      </w:r>
      <w:r w:rsidR="00F94A9B">
        <w:t xml:space="preserve">.2 </w:t>
      </w:r>
      <w:r w:rsidR="00890C29">
        <w:t xml:space="preserve">Other Considerations when Reading the </w:t>
      </w:r>
      <w:proofErr w:type="gramStart"/>
      <w:r w:rsidR="00890C29">
        <w:t>Standards</w:t>
      </w:r>
      <w:proofErr w:type="gramEnd"/>
    </w:p>
    <w:p w14:paraId="27B3C90A" w14:textId="2BD92249" w:rsidR="00890C29" w:rsidRDefault="00F54426" w:rsidP="00890C29">
      <w:r>
        <w:t xml:space="preserve">When reading these standards </w:t>
      </w:r>
      <w:r w:rsidR="00C3795A">
        <w:t>asset managers should ensure to consider the following points:</w:t>
      </w:r>
    </w:p>
    <w:p w14:paraId="440509AF" w14:textId="5256DF96" w:rsidR="00C3795A" w:rsidRDefault="00254820" w:rsidP="00C3795A">
      <w:pPr>
        <w:pStyle w:val="ListParagraph"/>
        <w:numPr>
          <w:ilvl w:val="0"/>
          <w:numId w:val="27"/>
        </w:numPr>
      </w:pPr>
      <w:r>
        <w:t xml:space="preserve">Some </w:t>
      </w:r>
      <w:r w:rsidR="00A03519">
        <w:t>S</w:t>
      </w:r>
      <w:r>
        <w:t>tandards may not be applicable for segregated accounts or fund of funds.</w:t>
      </w:r>
    </w:p>
    <w:p w14:paraId="21DD56FD" w14:textId="4FA33525" w:rsidR="008745A5" w:rsidRDefault="008745A5" w:rsidP="00C3795A">
      <w:pPr>
        <w:pStyle w:val="ListParagraph"/>
        <w:numPr>
          <w:ilvl w:val="0"/>
          <w:numId w:val="27"/>
        </w:numPr>
      </w:pPr>
      <w:r>
        <w:t xml:space="preserve">Where </w:t>
      </w:r>
      <w:r w:rsidR="00A03519">
        <w:t>the power to comply with a Standard</w:t>
      </w:r>
      <w:r w:rsidR="00F20CA9">
        <w:t xml:space="preserve"> sits with the fund governing body, the standard requires that a manager do what they reasonably can to ensure compliance</w:t>
      </w:r>
      <w:r w:rsidR="008C0F07">
        <w:t>.</w:t>
      </w:r>
    </w:p>
    <w:p w14:paraId="433AB019" w14:textId="75EF652C" w:rsidR="008C0F07" w:rsidRDefault="008C0F07" w:rsidP="00C3795A">
      <w:pPr>
        <w:pStyle w:val="ListParagraph"/>
        <w:numPr>
          <w:ilvl w:val="0"/>
          <w:numId w:val="27"/>
        </w:numPr>
      </w:pPr>
      <w:r>
        <w:t>Marketing materials can be taken to mean all documents disclosed to investors including the Offering Memorandum and disclosures are not required in each document separately.</w:t>
      </w:r>
    </w:p>
    <w:p w14:paraId="474BAD53" w14:textId="2508AD6C" w:rsidR="00AF2210" w:rsidRPr="00890C29" w:rsidRDefault="00AF2210" w:rsidP="00AF2210">
      <w:r>
        <w:t>Further Details on the above are contained in th</w:t>
      </w:r>
      <w:r w:rsidRPr="00B560F5">
        <w:t xml:space="preserve">e </w:t>
      </w:r>
      <w:hyperlink r:id="rId26" w:history="1">
        <w:r w:rsidRPr="00B560F5">
          <w:rPr>
            <w:rStyle w:val="Hyperlink"/>
            <w:color w:val="auto"/>
          </w:rPr>
          <w:t>full Standards document</w:t>
        </w:r>
      </w:hyperlink>
    </w:p>
    <w:p w14:paraId="71315C04" w14:textId="6865D023" w:rsidR="00F94A9B" w:rsidRDefault="00CC3C1D" w:rsidP="00F94A9B">
      <w:pPr>
        <w:pStyle w:val="Heading1"/>
      </w:pPr>
      <w:r>
        <w:t>3. The Alternative Investment Standards</w:t>
      </w:r>
    </w:p>
    <w:p w14:paraId="24EECF38" w14:textId="2179849A" w:rsidR="006848F3" w:rsidRPr="006848F3" w:rsidRDefault="006848F3" w:rsidP="006848F3">
      <w:pPr>
        <w:rPr>
          <w:i/>
          <w:iCs/>
        </w:rPr>
      </w:pPr>
      <w:r>
        <w:rPr>
          <w:i/>
          <w:iCs/>
        </w:rPr>
        <w:t xml:space="preserve">Note that the standards and appendices below do not necessarily flow in sequential order as they have retained the numbering from the main </w:t>
      </w:r>
      <w:r w:rsidR="007C493B">
        <w:rPr>
          <w:i/>
          <w:iCs/>
        </w:rPr>
        <w:t>Standards document</w:t>
      </w:r>
      <w:r w:rsidR="00FF5627">
        <w:rPr>
          <w:rStyle w:val="FootnoteReference"/>
          <w:i/>
          <w:iCs/>
        </w:rPr>
        <w:footnoteReference w:id="1"/>
      </w:r>
      <w:r w:rsidR="007C493B">
        <w:rPr>
          <w:i/>
          <w:iCs/>
        </w:rPr>
        <w:t>.</w:t>
      </w:r>
    </w:p>
    <w:p w14:paraId="1798E9E8" w14:textId="35C40A30" w:rsidR="00F94A9B" w:rsidRPr="004E11E6" w:rsidRDefault="005667E3" w:rsidP="004E11E6">
      <w:pPr>
        <w:pStyle w:val="Heading2"/>
      </w:pPr>
      <w:r w:rsidRPr="004E11E6">
        <w:t>A. Disclosure to Investors and Counterparties</w:t>
      </w:r>
    </w:p>
    <w:p w14:paraId="225D3218" w14:textId="77777777" w:rsidR="00BA67E5" w:rsidRDefault="00BA67E5" w:rsidP="00BA67E5">
      <w:pPr>
        <w:spacing w:after="0"/>
      </w:pPr>
    </w:p>
    <w:p w14:paraId="3303D6E1" w14:textId="624CB780" w:rsidR="00BA67E5" w:rsidRDefault="00BA67E5" w:rsidP="00BA67E5">
      <w:r>
        <w:t>Appropriate disclosure to investors is crucial in enabling well informed investment decisions.  Also, counterparties require adequate information to satisfy their risk assessment and regulatory requirements and make well informed lending decisions.</w:t>
      </w:r>
    </w:p>
    <w:p w14:paraId="2D9C7637" w14:textId="77777777" w:rsidR="00837087" w:rsidRDefault="00837087" w:rsidP="004E11E6">
      <w:pPr>
        <w:pStyle w:val="Heading3"/>
      </w:pPr>
      <w:r w:rsidRPr="00B325C2">
        <w:t xml:space="preserve">Commercial </w:t>
      </w:r>
      <w:r>
        <w:t>T</w:t>
      </w:r>
      <w:r w:rsidRPr="00B325C2">
        <w:t xml:space="preserve">erms </w:t>
      </w:r>
      <w:r>
        <w:t>D</w:t>
      </w:r>
      <w:r w:rsidRPr="00B325C2">
        <w:t>isclosure – Standards and Guidance [2]</w:t>
      </w:r>
      <w:r w:rsidRPr="00B325C2">
        <w:rPr>
          <w:rStyle w:val="FootnoteReference"/>
          <w:rFonts w:ascii="Times New Roman" w:hAnsi="Times New Roman"/>
        </w:rPr>
        <w:footnoteReference w:id="2"/>
      </w:r>
      <w:bookmarkStart w:id="1" w:name="_Toc181508645"/>
    </w:p>
    <w:p w14:paraId="666FE3FC" w14:textId="77777777" w:rsidR="00837087" w:rsidRPr="00A41783" w:rsidRDefault="00837087" w:rsidP="00837087">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837087" w:rsidRPr="00B325C2" w14:paraId="09E1308D" w14:textId="77777777" w:rsidTr="001B14A3">
        <w:trPr>
          <w:trHeight w:val="1531"/>
        </w:trPr>
        <w:tc>
          <w:tcPr>
            <w:tcW w:w="9461" w:type="dxa"/>
            <w:shd w:val="clear" w:color="auto" w:fill="F7F9FB" w:themeFill="accent1" w:themeFillTint="33"/>
          </w:tcPr>
          <w:p w14:paraId="6D8A29BD" w14:textId="629747FD" w:rsidR="00837087" w:rsidRDefault="00837087" w:rsidP="001B14A3">
            <w:pPr>
              <w:pStyle w:val="ListBullet"/>
              <w:numPr>
                <w:ilvl w:val="0"/>
                <w:numId w:val="0"/>
              </w:numPr>
              <w:shd w:val="clear" w:color="auto" w:fill="F7F9FB" w:themeFill="accent1" w:themeFillTint="33"/>
              <w:ind w:left="360" w:hanging="360"/>
              <w:rPr>
                <w:b/>
                <w:lang w:val="en-GB"/>
              </w:rPr>
            </w:pPr>
            <w:r>
              <w:rPr>
                <w:b/>
                <w:lang w:val="en-GB"/>
              </w:rPr>
              <w:t>2.1. T</w:t>
            </w:r>
            <w:r w:rsidRPr="00B325C2">
              <w:rPr>
                <w:b/>
                <w:lang w:val="en-GB"/>
              </w:rPr>
              <w:t xml:space="preserve">he commercial terms applicable </w:t>
            </w:r>
            <w:r w:rsidRPr="00D9759F">
              <w:rPr>
                <w:b/>
                <w:lang w:val="en-GB"/>
              </w:rPr>
              <w:t>to the relevant interests being offered in</w:t>
            </w:r>
            <w:r w:rsidRPr="00B325C2">
              <w:rPr>
                <w:b/>
                <w:lang w:val="en-GB"/>
              </w:rPr>
              <w:t xml:space="preserve"> a particular fund </w:t>
            </w:r>
            <w:r>
              <w:rPr>
                <w:b/>
                <w:lang w:val="en-GB"/>
              </w:rPr>
              <w:t xml:space="preserve">should be disclosed in the fund’s offering documents </w:t>
            </w:r>
            <w:r w:rsidRPr="00B325C2">
              <w:rPr>
                <w:b/>
                <w:lang w:val="en-GB"/>
              </w:rPr>
              <w:t>in sufficient detail and with sufficient prominence (</w:t>
            </w:r>
            <w:proofErr w:type="gramStart"/>
            <w:r w:rsidRPr="00B325C2">
              <w:rPr>
                <w:b/>
                <w:lang w:val="en-GB"/>
              </w:rPr>
              <w:t>taking into account</w:t>
            </w:r>
            <w:proofErr w:type="gramEnd"/>
            <w:r w:rsidRPr="00B325C2">
              <w:rPr>
                <w:b/>
                <w:lang w:val="en-GB"/>
              </w:rPr>
              <w:t xml:space="preserve"> the identity and sophistication of potential investors).</w:t>
            </w:r>
            <w:r>
              <w:rPr>
                <w:rStyle w:val="FootnoteReference"/>
                <w:b/>
                <w:lang w:val="en-GB"/>
              </w:rPr>
              <w:footnoteReference w:id="3"/>
            </w:r>
          </w:p>
          <w:p w14:paraId="687026C7" w14:textId="77777777" w:rsidR="00837087" w:rsidRDefault="00837087" w:rsidP="001B14A3">
            <w:pPr>
              <w:shd w:val="clear" w:color="auto" w:fill="F7F9FB" w:themeFill="accent1" w:themeFillTint="33"/>
              <w:spacing w:after="120"/>
              <w:ind w:left="360"/>
            </w:pPr>
            <w:r w:rsidRPr="00B325C2">
              <w:t xml:space="preserve">The </w:t>
            </w:r>
            <w:r>
              <w:t>SBAI</w:t>
            </w:r>
            <w:r w:rsidRPr="00B325C2">
              <w:t xml:space="preserve"> envisages that in most circumstances such disclosure would, amongst other things, include:</w:t>
            </w:r>
          </w:p>
          <w:p w14:paraId="318C8885" w14:textId="5AE1710C" w:rsidR="00837087" w:rsidRDefault="00837087" w:rsidP="00837087">
            <w:pPr>
              <w:pStyle w:val="ListBullet3"/>
              <w:numPr>
                <w:ilvl w:val="6"/>
                <w:numId w:val="14"/>
              </w:numPr>
              <w:shd w:val="clear" w:color="auto" w:fill="F7F9FB" w:themeFill="accent1" w:themeFillTint="33"/>
              <w:tabs>
                <w:tab w:val="clear" w:pos="1080"/>
                <w:tab w:val="num" w:pos="720"/>
              </w:tabs>
              <w:spacing w:before="120" w:after="120" w:line="240" w:lineRule="auto"/>
              <w:ind w:left="714" w:hanging="357"/>
              <w:rPr>
                <w:lang w:val="en-GB"/>
              </w:rPr>
            </w:pPr>
            <w:r>
              <w:rPr>
                <w:lang w:val="en-GB"/>
              </w:rPr>
              <w:t>F</w:t>
            </w:r>
            <w:r w:rsidRPr="00B325C2">
              <w:rPr>
                <w:lang w:val="en-GB"/>
              </w:rPr>
              <w:t>ees and expenses:</w:t>
            </w:r>
          </w:p>
          <w:p w14:paraId="775E2331" w14:textId="3818EEA8" w:rsidR="00837087" w:rsidRDefault="00837087" w:rsidP="001B14A3">
            <w:pPr>
              <w:pStyle w:val="ListBullet3"/>
              <w:shd w:val="clear" w:color="auto" w:fill="F7F9FB" w:themeFill="accent1" w:themeFillTint="33"/>
              <w:spacing w:before="120" w:after="120" w:line="240" w:lineRule="auto"/>
              <w:ind w:left="1077" w:hanging="357"/>
              <w:rPr>
                <w:lang w:val="en-GB"/>
              </w:rPr>
            </w:pPr>
            <w:r>
              <w:rPr>
                <w:lang w:val="en-GB"/>
              </w:rPr>
              <w:t>F</w:t>
            </w:r>
            <w:r w:rsidRPr="00B325C2">
              <w:rPr>
                <w:lang w:val="en-GB"/>
              </w:rPr>
              <w:t>air disclosure of the methodology used to calculate performance fees</w:t>
            </w:r>
            <w:r>
              <w:rPr>
                <w:lang w:val="en-GB"/>
              </w:rPr>
              <w:t>,</w:t>
            </w:r>
          </w:p>
          <w:p w14:paraId="7178F693" w14:textId="0CD50AF8" w:rsidR="00837087" w:rsidRDefault="00837087" w:rsidP="001B14A3">
            <w:pPr>
              <w:pStyle w:val="ListBullet3"/>
              <w:shd w:val="clear" w:color="auto" w:fill="F7F9FB" w:themeFill="accent1" w:themeFillTint="33"/>
              <w:spacing w:before="120" w:after="120" w:line="240" w:lineRule="auto"/>
              <w:ind w:left="1077" w:hanging="357"/>
              <w:rPr>
                <w:lang w:val="en-GB"/>
              </w:rPr>
            </w:pPr>
            <w:r>
              <w:rPr>
                <w:lang w:val="en-GB"/>
              </w:rPr>
              <w:t>D</w:t>
            </w:r>
            <w:r w:rsidRPr="00B325C2">
              <w:rPr>
                <w:lang w:val="en-GB"/>
              </w:rPr>
              <w:t>etails of any other remuneration received by the manager in connection with its management of the fund (this will be relevant, for example, where a fund is a “feeder” fund into another fund managed by the same manager)</w:t>
            </w:r>
            <w:r>
              <w:rPr>
                <w:lang w:val="en-GB"/>
              </w:rPr>
              <w:t>,</w:t>
            </w:r>
          </w:p>
          <w:p w14:paraId="48985545" w14:textId="4A9CCC27"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T</w:t>
            </w:r>
            <w:r w:rsidRPr="00B325C2">
              <w:rPr>
                <w:lang w:val="en-GB"/>
              </w:rPr>
              <w:t>he basis of calculation for any base management fee and details of the nature of any expenses which may be payable or reimbursed by the fund to the manager</w:t>
            </w:r>
            <w:r>
              <w:rPr>
                <w:lang w:val="en-GB"/>
              </w:rPr>
              <w:t>,</w:t>
            </w:r>
          </w:p>
          <w:p w14:paraId="170C1940" w14:textId="471861D3"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 xml:space="preserve">To the extent possible, the amount of, and/or method of calculating, the periodic fees </w:t>
            </w:r>
            <w:r w:rsidRPr="00B325C2">
              <w:rPr>
                <w:lang w:val="en-GB"/>
              </w:rPr>
              <w:t>payable to the fund’s other service providers</w:t>
            </w:r>
            <w:r>
              <w:rPr>
                <w:lang w:val="en-GB"/>
              </w:rPr>
              <w:t>,</w:t>
            </w:r>
          </w:p>
          <w:p w14:paraId="46317647" w14:textId="3B11FF74"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To the extent known, a description of other material fees, costs, and charges which will be payable by the fund,</w:t>
            </w:r>
          </w:p>
          <w:p w14:paraId="72936D50" w14:textId="77777777" w:rsidR="00837087" w:rsidRDefault="00837087" w:rsidP="001B14A3">
            <w:pPr>
              <w:pStyle w:val="ListBullet3"/>
              <w:shd w:val="clear" w:color="auto" w:fill="F7F9FB" w:themeFill="accent1" w:themeFillTint="33"/>
              <w:spacing w:before="120" w:after="120" w:line="240" w:lineRule="auto"/>
              <w:ind w:hanging="357"/>
              <w:rPr>
                <w:lang w:val="en-GB"/>
              </w:rPr>
            </w:pPr>
            <w:r w:rsidRPr="00B325C2">
              <w:rPr>
                <w:lang w:val="en-GB"/>
              </w:rPr>
              <w:lastRenderedPageBreak/>
              <w:t>if applicable, the fact that the fees and expenses payable to service providers may change.</w:t>
            </w:r>
          </w:p>
          <w:p w14:paraId="1CD58901" w14:textId="38CF624D" w:rsidR="00837087" w:rsidRDefault="00837087" w:rsidP="00837087">
            <w:pPr>
              <w:pStyle w:val="ListBullet3"/>
              <w:numPr>
                <w:ilvl w:val="6"/>
                <w:numId w:val="14"/>
              </w:numPr>
              <w:shd w:val="clear" w:color="auto" w:fill="F7F9FB" w:themeFill="accent1" w:themeFillTint="33"/>
              <w:tabs>
                <w:tab w:val="clear" w:pos="1080"/>
                <w:tab w:val="num" w:pos="720"/>
              </w:tabs>
              <w:spacing w:before="120" w:after="120" w:line="240" w:lineRule="auto"/>
              <w:ind w:left="720" w:hanging="357"/>
              <w:rPr>
                <w:lang w:val="en-GB"/>
              </w:rPr>
            </w:pPr>
            <w:r>
              <w:rPr>
                <w:lang w:val="en-GB"/>
              </w:rPr>
              <w:t>T</w:t>
            </w:r>
            <w:r w:rsidRPr="00B325C2">
              <w:rPr>
                <w:lang w:val="en-GB"/>
              </w:rPr>
              <w:t>ermination rights:</w:t>
            </w:r>
          </w:p>
          <w:p w14:paraId="46F5B76A" w14:textId="77777777" w:rsidR="00837087" w:rsidRDefault="00837087" w:rsidP="001B14A3">
            <w:pPr>
              <w:pStyle w:val="ListBullet3"/>
              <w:shd w:val="clear" w:color="auto" w:fill="F7F9FB" w:themeFill="accent1" w:themeFillTint="33"/>
              <w:spacing w:before="120" w:after="120" w:line="240" w:lineRule="auto"/>
              <w:ind w:hanging="357"/>
              <w:rPr>
                <w:lang w:val="en-GB"/>
              </w:rPr>
            </w:pPr>
            <w:r w:rsidRPr="00B325C2">
              <w:rPr>
                <w:lang w:val="en-GB"/>
              </w:rPr>
              <w:t>details of the circumstances in which the fund is entitled to terminate the manager’s appointment and the terms (e.g.</w:t>
            </w:r>
            <w:r>
              <w:rPr>
                <w:lang w:val="en-GB"/>
              </w:rPr>
              <w:t>,</w:t>
            </w:r>
            <w:r w:rsidRPr="00B325C2">
              <w:rPr>
                <w:lang w:val="en-GB"/>
              </w:rPr>
              <w:t xml:space="preserve"> in relation to termination fees) of such termination.</w:t>
            </w:r>
          </w:p>
          <w:p w14:paraId="5B8A455B" w14:textId="63DCBDC5" w:rsidR="00837087" w:rsidRDefault="00837087" w:rsidP="00837087">
            <w:pPr>
              <w:pStyle w:val="ListBullet3"/>
              <w:numPr>
                <w:ilvl w:val="6"/>
                <w:numId w:val="14"/>
              </w:numPr>
              <w:shd w:val="clear" w:color="auto" w:fill="F7F9FB" w:themeFill="accent1" w:themeFillTint="33"/>
              <w:tabs>
                <w:tab w:val="clear" w:pos="1080"/>
                <w:tab w:val="num" w:pos="720"/>
              </w:tabs>
              <w:spacing w:before="120" w:after="120" w:line="240" w:lineRule="auto"/>
              <w:ind w:left="720" w:hanging="357"/>
              <w:rPr>
                <w:lang w:val="en-GB"/>
              </w:rPr>
            </w:pPr>
            <w:r>
              <w:rPr>
                <w:lang w:val="en-GB"/>
              </w:rPr>
              <w:t>E</w:t>
            </w:r>
            <w:r w:rsidRPr="00B325C2">
              <w:rPr>
                <w:lang w:val="en-GB"/>
              </w:rPr>
              <w:t>xit terms (in the case of open-ended funds):</w:t>
            </w:r>
          </w:p>
          <w:p w14:paraId="6293AAD1" w14:textId="00CA1D99"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T</w:t>
            </w:r>
            <w:r w:rsidRPr="00B325C2">
              <w:rPr>
                <w:lang w:val="en-GB"/>
              </w:rPr>
              <w:t xml:space="preserve">he period of notice investors </w:t>
            </w:r>
            <w:proofErr w:type="gramStart"/>
            <w:r w:rsidRPr="00B325C2">
              <w:rPr>
                <w:lang w:val="en-GB"/>
              </w:rPr>
              <w:t>are</w:t>
            </w:r>
            <w:proofErr w:type="gramEnd"/>
            <w:r w:rsidRPr="00B325C2">
              <w:rPr>
                <w:lang w:val="en-GB"/>
              </w:rPr>
              <w:t xml:space="preserve"> required to give to redeem their investment in the fund</w:t>
            </w:r>
            <w:r>
              <w:rPr>
                <w:lang w:val="en-GB"/>
              </w:rPr>
              <w:t>,</w:t>
            </w:r>
          </w:p>
          <w:p w14:paraId="560D104E" w14:textId="34C430EE"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T</w:t>
            </w:r>
            <w:r w:rsidRPr="00B325C2">
              <w:rPr>
                <w:lang w:val="en-GB"/>
              </w:rPr>
              <w:t>he circumstances in which redemption requests can be revoked (e.g.</w:t>
            </w:r>
            <w:r>
              <w:rPr>
                <w:lang w:val="en-GB"/>
              </w:rPr>
              <w:t>,</w:t>
            </w:r>
            <w:r w:rsidRPr="00B325C2">
              <w:rPr>
                <w:lang w:val="en-GB"/>
              </w:rPr>
              <w:t xml:space="preserve"> redemption requests may be irrevocable except with consent of the fund governing body)</w:t>
            </w:r>
            <w:r>
              <w:rPr>
                <w:lang w:val="en-GB"/>
              </w:rPr>
              <w:t>,</w:t>
            </w:r>
          </w:p>
          <w:p w14:paraId="4E376E41" w14:textId="2F568780"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D</w:t>
            </w:r>
            <w:r w:rsidRPr="00B325C2">
              <w:rPr>
                <w:lang w:val="en-GB"/>
              </w:rPr>
              <w:t>etails of any redemption penalties (including, if relevant, any fee or penalty applicable where redemption requests are revoked)</w:t>
            </w:r>
            <w:r>
              <w:rPr>
                <w:lang w:val="en-GB"/>
              </w:rPr>
              <w:t>,</w:t>
            </w:r>
            <w:r w:rsidRPr="00B325C2">
              <w:rPr>
                <w:lang w:val="en-GB"/>
              </w:rPr>
              <w:t xml:space="preserve"> </w:t>
            </w:r>
          </w:p>
          <w:p w14:paraId="3F8D9F5C" w14:textId="1B1F631C"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D</w:t>
            </w:r>
            <w:r w:rsidRPr="00B325C2">
              <w:rPr>
                <w:lang w:val="en-GB"/>
              </w:rPr>
              <w:t>etails of any “lock-up” periods during which the investor will be unable to redeem its investment in the fund and any limits on the extent of redemptions on any redemption date (i.e., redemption "gates")</w:t>
            </w:r>
            <w:r>
              <w:rPr>
                <w:lang w:val="en-GB"/>
              </w:rPr>
              <w:t>,</w:t>
            </w:r>
            <w:r w:rsidRPr="00B325C2">
              <w:rPr>
                <w:lang w:val="en-GB"/>
              </w:rPr>
              <w:t xml:space="preserve"> and  </w:t>
            </w:r>
          </w:p>
          <w:p w14:paraId="37276DE8" w14:textId="48055256" w:rsidR="00837087" w:rsidRDefault="00837087" w:rsidP="001B14A3">
            <w:pPr>
              <w:pStyle w:val="ListBullet3"/>
              <w:shd w:val="clear" w:color="auto" w:fill="F7F9FB" w:themeFill="accent1" w:themeFillTint="33"/>
              <w:spacing w:after="120" w:line="240" w:lineRule="auto"/>
              <w:ind w:left="1077" w:hanging="357"/>
              <w:rPr>
                <w:lang w:val="en-GB"/>
              </w:rPr>
            </w:pPr>
            <w:r>
              <w:rPr>
                <w:lang w:val="en-GB"/>
              </w:rPr>
              <w:t>A</w:t>
            </w:r>
            <w:r w:rsidRPr="00B325C2">
              <w:rPr>
                <w:lang w:val="en-GB"/>
              </w:rPr>
              <w:t>n indication of circumstances in which normal redemption mechanics might not apply or may be suspended, if any – these could include, amongst other things:</w:t>
            </w:r>
          </w:p>
          <w:p w14:paraId="7EB01CD1" w14:textId="0D3EF9A8" w:rsidR="00837087" w:rsidRDefault="00BF1514" w:rsidP="001B14A3">
            <w:pPr>
              <w:pStyle w:val="ListBullet4"/>
              <w:shd w:val="clear" w:color="auto" w:fill="F7F9FB" w:themeFill="accent1" w:themeFillTint="33"/>
              <w:spacing w:after="120" w:line="240" w:lineRule="auto"/>
              <w:ind w:hanging="357"/>
              <w:rPr>
                <w:lang w:val="en-GB"/>
              </w:rPr>
            </w:pPr>
            <w:r>
              <w:rPr>
                <w:lang w:val="en-GB"/>
              </w:rPr>
              <w:t>A</w:t>
            </w:r>
            <w:r w:rsidR="00837087" w:rsidRPr="00B325C2">
              <w:rPr>
                <w:lang w:val="en-GB"/>
              </w:rPr>
              <w:t xml:space="preserve"> significant reduction in the liquidity of the fund's underlying assets</w:t>
            </w:r>
            <w:r>
              <w:rPr>
                <w:lang w:val="en-GB"/>
              </w:rPr>
              <w:t>,</w:t>
            </w:r>
            <w:r w:rsidR="00837087" w:rsidRPr="00B325C2">
              <w:rPr>
                <w:lang w:val="en-GB"/>
              </w:rPr>
              <w:t xml:space="preserve"> and</w:t>
            </w:r>
          </w:p>
          <w:p w14:paraId="454E7F54" w14:textId="44F5B08B" w:rsidR="00837087" w:rsidRDefault="00BF1514" w:rsidP="001B14A3">
            <w:pPr>
              <w:pStyle w:val="ListBullet4"/>
              <w:shd w:val="clear" w:color="auto" w:fill="F7F9FB" w:themeFill="accent1" w:themeFillTint="33"/>
              <w:spacing w:after="120" w:line="240" w:lineRule="auto"/>
              <w:ind w:hanging="357"/>
              <w:rPr>
                <w:lang w:val="en-GB"/>
              </w:rPr>
            </w:pPr>
            <w:r>
              <w:rPr>
                <w:lang w:val="en-GB"/>
              </w:rPr>
              <w:t>D</w:t>
            </w:r>
            <w:r w:rsidR="00837087" w:rsidRPr="00B325C2">
              <w:rPr>
                <w:lang w:val="en-GB"/>
              </w:rPr>
              <w:t>istress of one or more of the fund's counterparties (including its prime broker(s)) leading to uncertainty as to the value of OTC contracts or access to / ownership of re</w:t>
            </w:r>
            <w:r w:rsidR="00837087">
              <w:rPr>
                <w:lang w:val="en-GB"/>
              </w:rPr>
              <w:t>-</w:t>
            </w:r>
            <w:r w:rsidR="00837087" w:rsidRPr="00B325C2">
              <w:rPr>
                <w:lang w:val="en-GB"/>
              </w:rPr>
              <w:t>hypothecated assets.</w:t>
            </w:r>
          </w:p>
          <w:p w14:paraId="6F7787AA" w14:textId="77777777" w:rsidR="00837087" w:rsidRDefault="00837087" w:rsidP="001B14A3">
            <w:pPr>
              <w:pStyle w:val="ListBullet3"/>
              <w:shd w:val="clear" w:color="auto" w:fill="F7F9FB" w:themeFill="accent1" w:themeFillTint="33"/>
              <w:spacing w:before="120" w:after="120" w:line="240" w:lineRule="auto"/>
              <w:ind w:left="1083" w:hanging="357"/>
              <w:rPr>
                <w:lang w:val="en-GB"/>
              </w:rPr>
            </w:pPr>
            <w:r w:rsidRPr="00B325C2">
              <w:rPr>
                <w:lang w:val="en-GB"/>
              </w:rPr>
              <w:t>Details of any other measures which may be considered by the fund governing body in circumstances where normal redemption mechanics might not apply or may be suspended – for example:</w:t>
            </w:r>
          </w:p>
          <w:p w14:paraId="579C6FE7" w14:textId="4BB9952B" w:rsidR="00837087" w:rsidRDefault="00BF1514" w:rsidP="001B14A3">
            <w:pPr>
              <w:pStyle w:val="ListBullet4"/>
              <w:shd w:val="clear" w:color="auto" w:fill="F7F9FB" w:themeFill="accent1" w:themeFillTint="33"/>
              <w:spacing w:after="120" w:line="240" w:lineRule="auto"/>
              <w:ind w:hanging="357"/>
              <w:rPr>
                <w:lang w:val="en-GB"/>
              </w:rPr>
            </w:pPr>
            <w:r>
              <w:rPr>
                <w:lang w:val="en-GB"/>
              </w:rPr>
              <w:t>F</w:t>
            </w:r>
            <w:r w:rsidR="00837087" w:rsidRPr="00B325C2">
              <w:rPr>
                <w:lang w:val="en-GB"/>
              </w:rPr>
              <w:t xml:space="preserve">und level gating, investor level gating, </w:t>
            </w:r>
            <w:r w:rsidRPr="00B325C2">
              <w:rPr>
                <w:lang w:val="en-GB"/>
              </w:rPr>
              <w:t>lockups</w:t>
            </w:r>
            <w:r w:rsidR="00837087" w:rsidRPr="00B325C2">
              <w:rPr>
                <w:lang w:val="en-GB"/>
              </w:rPr>
              <w:t xml:space="preserve">, suspension of redemptions, penalties for revoking redemption requests </w:t>
            </w:r>
            <w:r w:rsidR="00837087" w:rsidRPr="00B325C2">
              <w:rPr>
                <w:i/>
                <w:lang w:val="en-GB"/>
              </w:rPr>
              <w:t xml:space="preserve">(to the extent that the fund’s constitutional documents/offering documents do not already provide for such mechanisms) </w:t>
            </w:r>
          </w:p>
          <w:p w14:paraId="277DE788" w14:textId="6FCBEA1E" w:rsidR="00837087" w:rsidRDefault="00BF1514" w:rsidP="001B14A3">
            <w:pPr>
              <w:pStyle w:val="ListBullet4"/>
              <w:shd w:val="clear" w:color="auto" w:fill="F7F9FB" w:themeFill="accent1" w:themeFillTint="33"/>
              <w:spacing w:after="120" w:line="240" w:lineRule="auto"/>
              <w:ind w:hanging="357"/>
              <w:rPr>
                <w:lang w:val="en-GB"/>
              </w:rPr>
            </w:pPr>
            <w:r>
              <w:rPr>
                <w:lang w:val="en-GB"/>
              </w:rPr>
              <w:t>S</w:t>
            </w:r>
            <w:r w:rsidR="00837087" w:rsidRPr="00B325C2">
              <w:rPr>
                <w:lang w:val="en-GB"/>
              </w:rPr>
              <w:t>ide pocketing</w:t>
            </w:r>
          </w:p>
          <w:p w14:paraId="2428147D" w14:textId="6DECA49D" w:rsidR="00837087" w:rsidRDefault="00BF1514" w:rsidP="001B14A3">
            <w:pPr>
              <w:pStyle w:val="ListBullet4"/>
              <w:shd w:val="clear" w:color="auto" w:fill="F7F9FB" w:themeFill="accent1" w:themeFillTint="33"/>
              <w:spacing w:after="120" w:line="240" w:lineRule="auto"/>
              <w:ind w:hanging="357"/>
              <w:rPr>
                <w:lang w:val="en-GB"/>
              </w:rPr>
            </w:pPr>
            <w:r>
              <w:rPr>
                <w:lang w:val="en-GB"/>
              </w:rPr>
              <w:t>R</w:t>
            </w:r>
            <w:r w:rsidR="00837087" w:rsidRPr="00B325C2">
              <w:rPr>
                <w:lang w:val="en-GB"/>
              </w:rPr>
              <w:t>estructuring the fund to incentivise investors to accept, or switch to an alternative share class offering reduced liquidity (for example</w:t>
            </w:r>
            <w:r w:rsidR="00837087">
              <w:rPr>
                <w:lang w:val="en-GB"/>
              </w:rPr>
              <w:t>,</w:t>
            </w:r>
            <w:r w:rsidR="00837087" w:rsidRPr="00B325C2">
              <w:rPr>
                <w:lang w:val="en-GB"/>
              </w:rPr>
              <w:t xml:space="preserve"> in exchange for lower fees)</w:t>
            </w:r>
          </w:p>
          <w:p w14:paraId="30A6CF36" w14:textId="52624A41" w:rsidR="00837087" w:rsidRDefault="00BF1514" w:rsidP="001B14A3">
            <w:pPr>
              <w:pStyle w:val="ListBullet3"/>
              <w:shd w:val="clear" w:color="auto" w:fill="F7F9FB" w:themeFill="accent1" w:themeFillTint="33"/>
              <w:spacing w:before="120" w:after="120" w:line="240" w:lineRule="auto"/>
              <w:ind w:left="1083" w:hanging="357"/>
              <w:rPr>
                <w:lang w:val="en-GB"/>
              </w:rPr>
            </w:pPr>
            <w:r>
              <w:rPr>
                <w:lang w:val="en-GB"/>
              </w:rPr>
              <w:t>I</w:t>
            </w:r>
            <w:r w:rsidR="00837087" w:rsidRPr="00B325C2">
              <w:rPr>
                <w:lang w:val="en-GB"/>
              </w:rPr>
              <w:t>f relevant, an indication of any circumstances in which any changes to redemption terms may be made without shareholder consent</w:t>
            </w:r>
            <w:r>
              <w:rPr>
                <w:lang w:val="en-GB"/>
              </w:rPr>
              <w:t>,</w:t>
            </w:r>
          </w:p>
          <w:p w14:paraId="0A680F41" w14:textId="415796A7" w:rsidR="00837087" w:rsidRDefault="00BF1514" w:rsidP="001B14A3">
            <w:pPr>
              <w:pStyle w:val="ListBullet3"/>
              <w:shd w:val="clear" w:color="auto" w:fill="F7F9FB" w:themeFill="accent1" w:themeFillTint="33"/>
              <w:spacing w:before="120" w:after="120" w:line="240" w:lineRule="auto"/>
              <w:ind w:left="1083" w:hanging="357"/>
              <w:rPr>
                <w:lang w:val="en-GB"/>
              </w:rPr>
            </w:pPr>
            <w:r>
              <w:rPr>
                <w:lang w:val="en-GB"/>
              </w:rPr>
              <w:t>W</w:t>
            </w:r>
            <w:r w:rsidR="00837087" w:rsidRPr="00B325C2">
              <w:rPr>
                <w:lang w:val="en-GB"/>
              </w:rPr>
              <w:t>hether measures to enhance liquidity at the fund level may be considered when redemptions are suspended/restricted (e</w:t>
            </w:r>
            <w:r w:rsidR="00837087">
              <w:rPr>
                <w:lang w:val="en-GB"/>
              </w:rPr>
              <w:t>.</w:t>
            </w:r>
            <w:r w:rsidR="00837087" w:rsidRPr="00B325C2">
              <w:rPr>
                <w:lang w:val="en-GB"/>
              </w:rPr>
              <w:t>g</w:t>
            </w:r>
            <w:r w:rsidR="00837087">
              <w:rPr>
                <w:lang w:val="en-GB"/>
              </w:rPr>
              <w:t>.,</w:t>
            </w:r>
            <w:r w:rsidR="00837087" w:rsidRPr="00B325C2">
              <w:rPr>
                <w:lang w:val="en-GB"/>
              </w:rPr>
              <w:t xml:space="preserve"> facilitating transfers of shares/units in the fund subject to ensuring that investors satisfy investor eligibility requirements).</w:t>
            </w:r>
          </w:p>
          <w:p w14:paraId="551DF2C6" w14:textId="7093D40B" w:rsidR="00837087" w:rsidRDefault="00837087" w:rsidP="001B14A3">
            <w:pPr>
              <w:pStyle w:val="ListBullet"/>
              <w:numPr>
                <w:ilvl w:val="0"/>
                <w:numId w:val="0"/>
              </w:numPr>
              <w:shd w:val="clear" w:color="auto" w:fill="F7F9FB" w:themeFill="accent1" w:themeFillTint="33"/>
              <w:ind w:left="360" w:hanging="360"/>
              <w:rPr>
                <w:b/>
                <w:lang w:val="en-GB"/>
              </w:rPr>
            </w:pPr>
            <w:r>
              <w:rPr>
                <w:b/>
                <w:lang w:val="en-GB"/>
              </w:rPr>
              <w:t>2.2</w:t>
            </w:r>
            <w:r w:rsidR="00BF1514">
              <w:rPr>
                <w:b/>
                <w:lang w:val="en-GB"/>
              </w:rPr>
              <w:t xml:space="preserve">. </w:t>
            </w:r>
            <w:r>
              <w:rPr>
                <w:b/>
                <w:lang w:val="en-GB"/>
              </w:rPr>
              <w:t xml:space="preserve">Changes to the fees and expenses payable by the fund to the manager or parties related to the manager, or the redemption rights available to investors which the fund governing body considers to be materially adverse to investors should not be effected without either (a) obtaining investor consent in accordance with the provisions relating to shareholder voting/consent/approvals contained in the fund’s constitution or offering documents, or (b) </w:t>
            </w:r>
            <w:r>
              <w:rPr>
                <w:b/>
                <w:lang w:val="en-GB"/>
              </w:rPr>
              <w:lastRenderedPageBreak/>
              <w:t>providing advance notice sufficient for investors to redeem prior to the effective date of the changes</w:t>
            </w:r>
            <w:r w:rsidRPr="00FC340F">
              <w:rPr>
                <w:b/>
                <w:lang w:val="en-GB"/>
              </w:rPr>
              <w:t xml:space="preserve"> without penalty.</w:t>
            </w:r>
            <w:bookmarkStart w:id="2" w:name="_Ref298147351"/>
            <w:r>
              <w:rPr>
                <w:rStyle w:val="FootnoteReference"/>
                <w:b/>
                <w:lang w:val="en-GB"/>
              </w:rPr>
              <w:footnoteReference w:id="4"/>
            </w:r>
            <w:bookmarkEnd w:id="2"/>
            <w:r w:rsidRPr="00B325C2">
              <w:rPr>
                <w:b/>
                <w:lang w:val="en-GB"/>
              </w:rPr>
              <w:t xml:space="preserve"> </w:t>
            </w:r>
          </w:p>
          <w:p w14:paraId="78F77EAD" w14:textId="52704D85" w:rsidR="00837087" w:rsidRPr="009414CC" w:rsidRDefault="00837087" w:rsidP="001B14A3">
            <w:pPr>
              <w:pStyle w:val="ListBullet"/>
              <w:numPr>
                <w:ilvl w:val="0"/>
                <w:numId w:val="0"/>
              </w:numPr>
              <w:shd w:val="clear" w:color="auto" w:fill="F7F9FB" w:themeFill="accent1" w:themeFillTint="33"/>
              <w:ind w:left="360" w:hanging="360"/>
              <w:rPr>
                <w:b/>
                <w:lang w:val="en-GB"/>
              </w:rPr>
            </w:pPr>
            <w:r>
              <w:rPr>
                <w:b/>
                <w:lang w:val="en-GB"/>
              </w:rPr>
              <w:t>2.3</w:t>
            </w:r>
            <w:r w:rsidR="00BF1514">
              <w:rPr>
                <w:b/>
                <w:lang w:val="en-GB"/>
              </w:rPr>
              <w:t xml:space="preserve">. </w:t>
            </w:r>
            <w:r>
              <w:rPr>
                <w:b/>
                <w:lang w:val="en-GB"/>
              </w:rPr>
              <w:t>A fund manager</w:t>
            </w:r>
            <w:r w:rsidRPr="0039431F">
              <w:rPr>
                <w:b/>
                <w:lang w:val="en-GB"/>
              </w:rPr>
              <w:t xml:space="preserve"> should disclose the existence of side letters which contain</w:t>
            </w:r>
            <w:r w:rsidR="00BF1514">
              <w:rPr>
                <w:b/>
                <w:lang w:val="en-GB"/>
              </w:rPr>
              <w:t xml:space="preserve"> </w:t>
            </w:r>
            <w:r>
              <w:rPr>
                <w:b/>
                <w:lang w:val="en-GB"/>
              </w:rPr>
              <w:t xml:space="preserve">a </w:t>
            </w:r>
            <w:r w:rsidRPr="0039431F">
              <w:rPr>
                <w:b/>
                <w:lang w:val="en-GB"/>
              </w:rPr>
              <w:t>"material terms"</w:t>
            </w:r>
            <w:r w:rsidRPr="0039431F">
              <w:rPr>
                <w:rStyle w:val="FootnoteReference"/>
                <w:b/>
                <w:lang w:val="en-GB"/>
              </w:rPr>
              <w:footnoteReference w:id="5"/>
            </w:r>
            <w:r w:rsidRPr="0039431F">
              <w:rPr>
                <w:b/>
                <w:lang w:val="en-GB"/>
              </w:rPr>
              <w:t xml:space="preserve">, and the nature of such terms. </w:t>
            </w:r>
            <w:r>
              <w:rPr>
                <w:b/>
                <w:lang w:val="en-GB"/>
              </w:rPr>
              <w:t>A fund manager</w:t>
            </w:r>
            <w:r w:rsidRPr="0039431F">
              <w:rPr>
                <w:b/>
                <w:lang w:val="en-GB"/>
              </w:rPr>
              <w:t xml:space="preserve"> is not required to disclose the existence of side letters which contain no material terms.</w:t>
            </w:r>
          </w:p>
          <w:p w14:paraId="49C3B081" w14:textId="11D002E6" w:rsidR="00837087" w:rsidRDefault="00837087" w:rsidP="001B14A3">
            <w:pPr>
              <w:pStyle w:val="ListBullet"/>
              <w:numPr>
                <w:ilvl w:val="0"/>
                <w:numId w:val="0"/>
              </w:numPr>
              <w:shd w:val="clear" w:color="auto" w:fill="F7F9FB" w:themeFill="accent1" w:themeFillTint="33"/>
              <w:spacing w:after="120"/>
              <w:ind w:left="360" w:hanging="360"/>
              <w:rPr>
                <w:b/>
                <w:lang w:val="en-GB"/>
              </w:rPr>
            </w:pPr>
            <w:r w:rsidRPr="00240573">
              <w:rPr>
                <w:b/>
                <w:lang w:val="en-GB"/>
              </w:rPr>
              <w:t>2.4</w:t>
            </w:r>
            <w:r w:rsidR="00BF1514">
              <w:rPr>
                <w:b/>
                <w:lang w:val="en-GB"/>
              </w:rPr>
              <w:t xml:space="preserve">. </w:t>
            </w:r>
            <w:r>
              <w:rPr>
                <w:b/>
                <w:lang w:val="en-GB"/>
              </w:rPr>
              <w:t>Upon request, a fund manager</w:t>
            </w:r>
            <w:r w:rsidRPr="002F56ED">
              <w:rPr>
                <w:b/>
                <w:lang w:val="en-GB"/>
              </w:rPr>
              <w:t xml:space="preserve"> should disclose</w:t>
            </w:r>
            <w:r w:rsidR="0065696F">
              <w:rPr>
                <w:b/>
                <w:lang w:val="en-GB"/>
              </w:rPr>
              <w:t>:</w:t>
            </w:r>
          </w:p>
          <w:p w14:paraId="73570FDD" w14:textId="77777777" w:rsidR="00837087" w:rsidRDefault="00837087" w:rsidP="001B14A3">
            <w:pPr>
              <w:pStyle w:val="ListBullet"/>
              <w:numPr>
                <w:ilvl w:val="0"/>
                <w:numId w:val="0"/>
              </w:numPr>
              <w:shd w:val="clear" w:color="auto" w:fill="F7F9FB" w:themeFill="accent1" w:themeFillTint="33"/>
              <w:spacing w:after="120"/>
              <w:ind w:left="877" w:hanging="360"/>
              <w:rPr>
                <w:b/>
                <w:lang w:val="en-GB"/>
              </w:rPr>
            </w:pPr>
            <w:r w:rsidRPr="002F56ED">
              <w:rPr>
                <w:b/>
                <w:lang w:val="en-GB"/>
              </w:rPr>
              <w:t xml:space="preserve">(a) </w:t>
            </w:r>
            <w:r>
              <w:rPr>
                <w:b/>
                <w:lang w:val="en-GB"/>
              </w:rPr>
              <w:t xml:space="preserve"> E</w:t>
            </w:r>
            <w:r w:rsidRPr="002F56ED">
              <w:rPr>
                <w:b/>
                <w:lang w:val="en-GB"/>
              </w:rPr>
              <w:t>xistence of funds</w:t>
            </w:r>
            <w:r>
              <w:rPr>
                <w:b/>
                <w:lang w:val="en-GB"/>
              </w:rPr>
              <w:t>,</w:t>
            </w:r>
            <w:r w:rsidRPr="002F56ED">
              <w:rPr>
                <w:b/>
                <w:lang w:val="en-GB"/>
              </w:rPr>
              <w:t xml:space="preserve"> accounts </w:t>
            </w:r>
            <w:r>
              <w:rPr>
                <w:b/>
                <w:lang w:val="en-GB"/>
              </w:rPr>
              <w:t xml:space="preserve">or vehicles </w:t>
            </w:r>
            <w:r w:rsidRPr="002F56ED">
              <w:rPr>
                <w:b/>
                <w:lang w:val="en-GB"/>
              </w:rPr>
              <w:t xml:space="preserve">managed by it using the same </w:t>
            </w:r>
            <w:r>
              <w:rPr>
                <w:b/>
                <w:lang w:val="en-GB"/>
              </w:rPr>
              <w:t>or similar</w:t>
            </w:r>
            <w:bookmarkStart w:id="3" w:name="_Ref433960772"/>
            <w:r>
              <w:rPr>
                <w:rStyle w:val="FootnoteReference"/>
                <w:b/>
                <w:lang w:val="en-GB"/>
              </w:rPr>
              <w:footnoteReference w:id="6"/>
            </w:r>
            <w:bookmarkEnd w:id="3"/>
            <w:r>
              <w:rPr>
                <w:b/>
                <w:lang w:val="en-GB"/>
              </w:rPr>
              <w:t xml:space="preserve"> investment </w:t>
            </w:r>
            <w:r w:rsidRPr="002F56ED">
              <w:rPr>
                <w:b/>
                <w:lang w:val="en-GB"/>
              </w:rPr>
              <w:t>strategy</w:t>
            </w:r>
            <w:r>
              <w:rPr>
                <w:b/>
                <w:lang w:val="en-GB"/>
              </w:rPr>
              <w:t>,</w:t>
            </w:r>
            <w:bookmarkStart w:id="4" w:name="_Ref433960993"/>
            <w:r>
              <w:rPr>
                <w:rStyle w:val="FootnoteReference"/>
                <w:b/>
                <w:lang w:val="en-GB"/>
              </w:rPr>
              <w:footnoteReference w:id="7"/>
            </w:r>
            <w:bookmarkEnd w:id="4"/>
          </w:p>
          <w:p w14:paraId="6E088AAB" w14:textId="509D692E" w:rsidR="00837087" w:rsidRDefault="00837087" w:rsidP="001B14A3">
            <w:pPr>
              <w:pStyle w:val="ListBullet"/>
              <w:numPr>
                <w:ilvl w:val="0"/>
                <w:numId w:val="0"/>
              </w:numPr>
              <w:shd w:val="clear" w:color="auto" w:fill="F7F9FB" w:themeFill="accent1" w:themeFillTint="33"/>
              <w:spacing w:after="120"/>
              <w:ind w:left="877" w:hanging="360"/>
              <w:rPr>
                <w:b/>
                <w:lang w:val="en-GB"/>
              </w:rPr>
            </w:pPr>
            <w:r w:rsidRPr="00240573">
              <w:rPr>
                <w:b/>
                <w:lang w:val="en-GB"/>
              </w:rPr>
              <w:t xml:space="preserve">(b) </w:t>
            </w:r>
            <w:r>
              <w:rPr>
                <w:b/>
                <w:lang w:val="en-GB"/>
              </w:rPr>
              <w:t xml:space="preserve"> </w:t>
            </w:r>
            <w:r w:rsidR="00BF1514">
              <w:rPr>
                <w:b/>
                <w:lang w:val="en-GB"/>
              </w:rPr>
              <w:t>A</w:t>
            </w:r>
            <w:r w:rsidRPr="00240573">
              <w:rPr>
                <w:b/>
                <w:lang w:val="en-GB"/>
              </w:rPr>
              <w:t>ny material adverse effects which the existence of such other funds</w:t>
            </w:r>
            <w:r>
              <w:rPr>
                <w:b/>
                <w:lang w:val="en-GB"/>
              </w:rPr>
              <w:t>,</w:t>
            </w:r>
            <w:r w:rsidRPr="00240573">
              <w:rPr>
                <w:b/>
                <w:lang w:val="en-GB"/>
              </w:rPr>
              <w:t xml:space="preserve"> accounts</w:t>
            </w:r>
            <w:r>
              <w:rPr>
                <w:b/>
                <w:lang w:val="en-GB"/>
              </w:rPr>
              <w:t xml:space="preserve"> or vehicles</w:t>
            </w:r>
            <w:r w:rsidRPr="00240573">
              <w:rPr>
                <w:b/>
                <w:lang w:val="en-GB"/>
              </w:rPr>
              <w:t xml:space="preserve"> may have on investors in the fund</w:t>
            </w:r>
            <w:r>
              <w:rPr>
                <w:b/>
                <w:lang w:val="en-GB"/>
              </w:rPr>
              <w:t>,</w:t>
            </w:r>
          </w:p>
          <w:p w14:paraId="58BCA5D9" w14:textId="519CE1ED" w:rsidR="00837087" w:rsidRDefault="00837087" w:rsidP="001B14A3">
            <w:pPr>
              <w:pStyle w:val="ListBullet"/>
              <w:numPr>
                <w:ilvl w:val="0"/>
                <w:numId w:val="0"/>
              </w:numPr>
              <w:shd w:val="clear" w:color="auto" w:fill="F7F9FB" w:themeFill="accent1" w:themeFillTint="33"/>
              <w:spacing w:after="120"/>
              <w:ind w:left="877" w:hanging="360"/>
              <w:rPr>
                <w:b/>
                <w:lang w:val="en-GB"/>
              </w:rPr>
            </w:pPr>
            <w:r>
              <w:rPr>
                <w:b/>
                <w:lang w:val="en-GB"/>
              </w:rPr>
              <w:t>(c)</w:t>
            </w:r>
            <w:r w:rsidRPr="002F56ED">
              <w:rPr>
                <w:b/>
                <w:lang w:val="en-GB"/>
              </w:rPr>
              <w:t xml:space="preserve"> </w:t>
            </w:r>
            <w:r w:rsidR="00BF1514">
              <w:rPr>
                <w:b/>
                <w:lang w:val="en-GB"/>
              </w:rPr>
              <w:t xml:space="preserve"> T</w:t>
            </w:r>
            <w:r>
              <w:rPr>
                <w:b/>
                <w:lang w:val="en-GB"/>
              </w:rPr>
              <w:t>he aggregate value of asset managed by the manager using the same or similar</w:t>
            </w:r>
            <w:r w:rsidRPr="007F03E6">
              <w:rPr>
                <w:b/>
                <w:vertAlign w:val="superscript"/>
                <w:lang w:val="en-GB"/>
              </w:rPr>
              <w:fldChar w:fldCharType="begin"/>
            </w:r>
            <w:r w:rsidRPr="007F03E6">
              <w:rPr>
                <w:b/>
                <w:vertAlign w:val="superscript"/>
                <w:lang w:val="en-GB"/>
              </w:rPr>
              <w:instrText xml:space="preserve"> NOTEREF _Ref433960772 \h </w:instrText>
            </w:r>
            <w:r>
              <w:rPr>
                <w:b/>
                <w:vertAlign w:val="superscript"/>
                <w:lang w:val="en-GB"/>
              </w:rPr>
              <w:instrText xml:space="preserve"> \* MERGEFORMAT </w:instrText>
            </w:r>
            <w:r w:rsidRPr="007F03E6">
              <w:rPr>
                <w:b/>
                <w:vertAlign w:val="superscript"/>
                <w:lang w:val="en-GB"/>
              </w:rPr>
            </w:r>
            <w:r w:rsidRPr="007F03E6">
              <w:rPr>
                <w:b/>
                <w:vertAlign w:val="superscript"/>
                <w:lang w:val="en-GB"/>
              </w:rPr>
              <w:fldChar w:fldCharType="separate"/>
            </w:r>
            <w:r w:rsidR="001F7CB0">
              <w:rPr>
                <w:b/>
                <w:vertAlign w:val="superscript"/>
                <w:lang w:val="en-GB"/>
              </w:rPr>
              <w:t>6</w:t>
            </w:r>
            <w:r w:rsidRPr="007F03E6">
              <w:rPr>
                <w:b/>
                <w:vertAlign w:val="superscript"/>
                <w:lang w:val="en-GB"/>
              </w:rPr>
              <w:fldChar w:fldCharType="end"/>
            </w:r>
            <w:r>
              <w:rPr>
                <w:b/>
                <w:lang w:val="en-GB"/>
              </w:rPr>
              <w:t xml:space="preserve"> investment strategy,</w:t>
            </w:r>
          </w:p>
          <w:p w14:paraId="58336D0B" w14:textId="0B4A337A" w:rsidR="00837087" w:rsidRDefault="00837087" w:rsidP="001B14A3">
            <w:pPr>
              <w:pStyle w:val="ListBullet"/>
              <w:numPr>
                <w:ilvl w:val="0"/>
                <w:numId w:val="0"/>
              </w:numPr>
              <w:shd w:val="clear" w:color="auto" w:fill="F7F9FB" w:themeFill="accent1" w:themeFillTint="33"/>
              <w:spacing w:after="120"/>
              <w:ind w:left="877" w:hanging="360"/>
              <w:rPr>
                <w:b/>
                <w:lang w:val="en-GB"/>
              </w:rPr>
            </w:pPr>
            <w:r>
              <w:rPr>
                <w:b/>
                <w:lang w:val="en-GB"/>
              </w:rPr>
              <w:t xml:space="preserve">(d) </w:t>
            </w:r>
            <w:r w:rsidR="00BF1514">
              <w:rPr>
                <w:b/>
                <w:lang w:val="en-GB"/>
              </w:rPr>
              <w:t xml:space="preserve"> T</w:t>
            </w:r>
            <w:r>
              <w:rPr>
                <w:b/>
                <w:lang w:val="en-GB"/>
              </w:rPr>
              <w:t>he aggregate size of employee or partner interests in the investment strategy,</w:t>
            </w:r>
            <w:r>
              <w:rPr>
                <w:rStyle w:val="FootnoteReference"/>
                <w:b/>
                <w:lang w:val="en-GB"/>
              </w:rPr>
              <w:footnoteReference w:id="8"/>
            </w:r>
            <w:r>
              <w:rPr>
                <w:b/>
                <w:lang w:val="en-GB"/>
              </w:rPr>
              <w:t xml:space="preserve"> </w:t>
            </w:r>
          </w:p>
          <w:p w14:paraId="47EB1876" w14:textId="7E570B79" w:rsidR="00837087" w:rsidRDefault="00837087" w:rsidP="001B14A3">
            <w:pPr>
              <w:pStyle w:val="ListBullet"/>
              <w:numPr>
                <w:ilvl w:val="0"/>
                <w:numId w:val="0"/>
              </w:numPr>
              <w:shd w:val="clear" w:color="auto" w:fill="F7F9FB" w:themeFill="accent1" w:themeFillTint="33"/>
              <w:spacing w:after="120"/>
              <w:ind w:left="877" w:hanging="360"/>
              <w:rPr>
                <w:b/>
                <w:lang w:val="en-GB"/>
              </w:rPr>
            </w:pPr>
            <w:r>
              <w:rPr>
                <w:b/>
                <w:lang w:val="en-GB"/>
              </w:rPr>
              <w:t xml:space="preserve">(e)  </w:t>
            </w:r>
            <w:r w:rsidR="00BF1514">
              <w:rPr>
                <w:b/>
                <w:lang w:val="en-GB"/>
              </w:rPr>
              <w:t>T</w:t>
            </w:r>
            <w:r>
              <w:rPr>
                <w:b/>
                <w:lang w:val="en-GB"/>
              </w:rPr>
              <w:t>he existence of any other funds or accounts managed by it which follow the same or similar</w:t>
            </w:r>
            <w:r w:rsidRPr="007F03E6">
              <w:rPr>
                <w:b/>
                <w:vertAlign w:val="superscript"/>
                <w:lang w:val="en-GB"/>
              </w:rPr>
              <w:fldChar w:fldCharType="begin"/>
            </w:r>
            <w:r w:rsidRPr="007F03E6">
              <w:rPr>
                <w:b/>
                <w:vertAlign w:val="superscript"/>
                <w:lang w:val="en-GB"/>
              </w:rPr>
              <w:instrText xml:space="preserve"> NOTEREF _Ref433960772 \h </w:instrText>
            </w:r>
            <w:r>
              <w:rPr>
                <w:b/>
                <w:vertAlign w:val="superscript"/>
                <w:lang w:val="en-GB"/>
              </w:rPr>
              <w:instrText xml:space="preserve"> \* MERGEFORMAT </w:instrText>
            </w:r>
            <w:r w:rsidRPr="007F03E6">
              <w:rPr>
                <w:b/>
                <w:vertAlign w:val="superscript"/>
                <w:lang w:val="en-GB"/>
              </w:rPr>
            </w:r>
            <w:r w:rsidRPr="007F03E6">
              <w:rPr>
                <w:b/>
                <w:vertAlign w:val="superscript"/>
                <w:lang w:val="en-GB"/>
              </w:rPr>
              <w:fldChar w:fldCharType="separate"/>
            </w:r>
            <w:r w:rsidR="001F7CB0">
              <w:rPr>
                <w:b/>
                <w:vertAlign w:val="superscript"/>
                <w:lang w:val="en-GB"/>
              </w:rPr>
              <w:t>6</w:t>
            </w:r>
            <w:r w:rsidRPr="007F03E6">
              <w:rPr>
                <w:b/>
                <w:vertAlign w:val="superscript"/>
                <w:lang w:val="en-GB"/>
              </w:rPr>
              <w:fldChar w:fldCharType="end"/>
            </w:r>
            <w:r>
              <w:rPr>
                <w:b/>
                <w:lang w:val="en-GB"/>
              </w:rPr>
              <w:t xml:space="preserve"> investment strategy to the fund and which are available for investment only by partners or employees (or their connected persons) of the fund manager,</w:t>
            </w:r>
            <w:r w:rsidRPr="007F03E6">
              <w:rPr>
                <w:b/>
                <w:vertAlign w:val="superscript"/>
                <w:lang w:val="en-GB"/>
              </w:rPr>
              <w:fldChar w:fldCharType="begin"/>
            </w:r>
            <w:r w:rsidRPr="007F03E6">
              <w:rPr>
                <w:b/>
                <w:vertAlign w:val="superscript"/>
                <w:lang w:val="en-GB"/>
              </w:rPr>
              <w:instrText xml:space="preserve"> NOTEREF _Ref433960993 \h </w:instrText>
            </w:r>
            <w:r>
              <w:rPr>
                <w:b/>
                <w:vertAlign w:val="superscript"/>
                <w:lang w:val="en-GB"/>
              </w:rPr>
              <w:instrText xml:space="preserve"> \* MERGEFORMAT </w:instrText>
            </w:r>
            <w:r w:rsidRPr="007F03E6">
              <w:rPr>
                <w:b/>
                <w:vertAlign w:val="superscript"/>
                <w:lang w:val="en-GB"/>
              </w:rPr>
            </w:r>
            <w:r w:rsidRPr="007F03E6">
              <w:rPr>
                <w:b/>
                <w:vertAlign w:val="superscript"/>
                <w:lang w:val="en-GB"/>
              </w:rPr>
              <w:fldChar w:fldCharType="separate"/>
            </w:r>
            <w:r w:rsidR="001F7CB0">
              <w:rPr>
                <w:b/>
                <w:vertAlign w:val="superscript"/>
                <w:lang w:val="en-GB"/>
              </w:rPr>
              <w:t>7</w:t>
            </w:r>
            <w:r w:rsidRPr="007F03E6">
              <w:rPr>
                <w:b/>
                <w:vertAlign w:val="superscript"/>
                <w:lang w:val="en-GB"/>
              </w:rPr>
              <w:fldChar w:fldCharType="end"/>
            </w:r>
            <w:r>
              <w:rPr>
                <w:b/>
                <w:vertAlign w:val="superscript"/>
                <w:lang w:val="en-GB"/>
              </w:rPr>
              <w:t>,</w:t>
            </w:r>
            <w:r>
              <w:rPr>
                <w:b/>
                <w:lang w:val="en-GB"/>
              </w:rPr>
              <w:t xml:space="preserve"> </w:t>
            </w:r>
            <w:r>
              <w:rPr>
                <w:rStyle w:val="FootnoteReference"/>
                <w:b/>
                <w:lang w:val="en-GB"/>
              </w:rPr>
              <w:footnoteReference w:id="9"/>
            </w:r>
            <w:r>
              <w:rPr>
                <w:b/>
                <w:lang w:val="en-GB"/>
              </w:rPr>
              <w:t xml:space="preserve"> and </w:t>
            </w:r>
          </w:p>
          <w:p w14:paraId="21163C10" w14:textId="6D83E65B" w:rsidR="00837087" w:rsidRDefault="00837087" w:rsidP="001B14A3">
            <w:pPr>
              <w:pStyle w:val="ListBullet"/>
              <w:numPr>
                <w:ilvl w:val="0"/>
                <w:numId w:val="0"/>
              </w:numPr>
              <w:shd w:val="clear" w:color="auto" w:fill="F7F9FB" w:themeFill="accent1" w:themeFillTint="33"/>
              <w:spacing w:after="120"/>
              <w:ind w:left="877" w:hanging="360"/>
              <w:rPr>
                <w:b/>
                <w:lang w:val="en-GB"/>
              </w:rPr>
            </w:pPr>
            <w:r>
              <w:rPr>
                <w:b/>
                <w:lang w:val="en-GB"/>
              </w:rPr>
              <w:t xml:space="preserve">(f)   </w:t>
            </w:r>
            <w:r w:rsidR="00BF1514">
              <w:rPr>
                <w:b/>
                <w:lang w:val="en-GB"/>
              </w:rPr>
              <w:t>I</w:t>
            </w:r>
            <w:r>
              <w:rPr>
                <w:b/>
                <w:lang w:val="en-GB"/>
              </w:rPr>
              <w:t>n the case of (e) above, the size of such funds and accounts.</w:t>
            </w:r>
          </w:p>
          <w:p w14:paraId="6D0AF971" w14:textId="77777777" w:rsidR="00837087" w:rsidRPr="00623279" w:rsidRDefault="00837087" w:rsidP="001B14A3">
            <w:pPr>
              <w:pStyle w:val="ListBullet"/>
              <w:numPr>
                <w:ilvl w:val="0"/>
                <w:numId w:val="0"/>
              </w:numPr>
              <w:shd w:val="clear" w:color="auto" w:fill="F7F9FB" w:themeFill="accent1" w:themeFillTint="33"/>
              <w:spacing w:after="120"/>
              <w:rPr>
                <w:lang w:val="en-GB"/>
              </w:rPr>
            </w:pPr>
            <w:r w:rsidRPr="00107143">
              <w:rPr>
                <w:i/>
                <w:lang w:val="en-GB"/>
              </w:rPr>
              <w:t>Please see below an example of non-binding guidance to determine “similarity”</w:t>
            </w:r>
            <w:r>
              <w:rPr>
                <w:i/>
                <w:lang w:val="en-GB"/>
              </w:rPr>
              <w:t>.</w:t>
            </w:r>
          </w:p>
          <w:p w14:paraId="591056C4" w14:textId="40606292" w:rsidR="00837087" w:rsidRDefault="00837087" w:rsidP="001B14A3">
            <w:pPr>
              <w:pStyle w:val="ListBullet"/>
              <w:numPr>
                <w:ilvl w:val="0"/>
                <w:numId w:val="0"/>
              </w:numPr>
              <w:shd w:val="clear" w:color="auto" w:fill="F7F9FB" w:themeFill="accent1" w:themeFillTint="33"/>
              <w:spacing w:after="120"/>
              <w:ind w:left="360" w:hanging="360"/>
              <w:rPr>
                <w:b/>
                <w:lang w:val="en-GB"/>
              </w:rPr>
            </w:pPr>
            <w:r>
              <w:rPr>
                <w:b/>
                <w:lang w:val="en-GB"/>
              </w:rPr>
              <w:t>2.5</w:t>
            </w:r>
            <w:r w:rsidR="00BF1514">
              <w:rPr>
                <w:b/>
                <w:lang w:val="en-GB"/>
              </w:rPr>
              <w:t>.</w:t>
            </w:r>
            <w:r>
              <w:rPr>
                <w:b/>
                <w:lang w:val="en-GB"/>
              </w:rPr>
              <w:t xml:space="preserve"> T</w:t>
            </w:r>
            <w:r w:rsidRPr="00B325C2">
              <w:rPr>
                <w:b/>
                <w:lang w:val="en-GB"/>
              </w:rPr>
              <w:t xml:space="preserve">he </w:t>
            </w:r>
            <w:r>
              <w:rPr>
                <w:b/>
                <w:lang w:val="en-GB"/>
              </w:rPr>
              <w:t xml:space="preserve">fees and expenses (including but not limited to </w:t>
            </w:r>
            <w:r w:rsidRPr="00B325C2">
              <w:rPr>
                <w:b/>
                <w:lang w:val="en-GB"/>
              </w:rPr>
              <w:t>management and performance fees</w:t>
            </w:r>
            <w:r>
              <w:rPr>
                <w:b/>
                <w:lang w:val="en-GB"/>
              </w:rPr>
              <w:t>)</w:t>
            </w:r>
            <w:r w:rsidRPr="00B325C2">
              <w:rPr>
                <w:b/>
                <w:lang w:val="en-GB"/>
              </w:rPr>
              <w:t xml:space="preserve"> charged</w:t>
            </w:r>
            <w:r>
              <w:rPr>
                <w:b/>
                <w:lang w:val="en-GB"/>
              </w:rPr>
              <w:t xml:space="preserve"> to the fund should be disclosed in the fund’s audited financial statements</w:t>
            </w:r>
            <w:r w:rsidRPr="00B325C2">
              <w:rPr>
                <w:b/>
                <w:lang w:val="en-GB"/>
              </w:rPr>
              <w:t>.</w:t>
            </w:r>
            <w:r>
              <w:fldChar w:fldCharType="begin"/>
            </w:r>
            <w:r>
              <w:instrText xml:space="preserve"> NOTEREF _Ref298147351 \h  \* MERGEFORMAT </w:instrText>
            </w:r>
            <w:r>
              <w:fldChar w:fldCharType="separate"/>
            </w:r>
            <w:r w:rsidR="001F7CB0" w:rsidRPr="001F7CB0">
              <w:rPr>
                <w:b/>
                <w:vertAlign w:val="superscript"/>
                <w:lang w:val="en-GB"/>
              </w:rPr>
              <w:t>4</w:t>
            </w:r>
            <w:r>
              <w:fldChar w:fldCharType="end"/>
            </w:r>
            <w:r w:rsidRPr="00B325C2">
              <w:rPr>
                <w:b/>
                <w:lang w:val="en-GB"/>
              </w:rPr>
              <w:t xml:space="preserve"> This includes explanations in the annual report which allow investors to compare, readily, the fees </w:t>
            </w:r>
            <w:r>
              <w:rPr>
                <w:b/>
                <w:lang w:val="en-GB"/>
              </w:rPr>
              <w:t xml:space="preserve">and expenses </w:t>
            </w:r>
            <w:r w:rsidRPr="00B325C2">
              <w:rPr>
                <w:b/>
                <w:lang w:val="en-GB"/>
              </w:rPr>
              <w:t xml:space="preserve">charged with the description of such </w:t>
            </w:r>
            <w:r>
              <w:rPr>
                <w:b/>
                <w:lang w:val="en-GB"/>
              </w:rPr>
              <w:t xml:space="preserve">fees and expenses </w:t>
            </w:r>
            <w:r w:rsidRPr="00B325C2">
              <w:rPr>
                <w:b/>
                <w:lang w:val="en-GB"/>
              </w:rPr>
              <w:t xml:space="preserve">set out in the fund's offering documents where this is not obvious from the disclosure in the financial statements. </w:t>
            </w:r>
          </w:p>
          <w:p w14:paraId="62DD7AA3" w14:textId="7C5F97B6" w:rsidR="00837087" w:rsidRPr="00B325C2" w:rsidRDefault="00837087" w:rsidP="001B14A3">
            <w:pPr>
              <w:pStyle w:val="ListBullet"/>
              <w:numPr>
                <w:ilvl w:val="0"/>
                <w:numId w:val="0"/>
              </w:numPr>
              <w:shd w:val="clear" w:color="auto" w:fill="F7F9FB" w:themeFill="accent1" w:themeFillTint="33"/>
              <w:spacing w:after="120"/>
              <w:ind w:left="360" w:hanging="360"/>
              <w:rPr>
                <w:lang w:val="en-GB"/>
              </w:rPr>
            </w:pPr>
            <w:r>
              <w:rPr>
                <w:lang w:val="en-GB"/>
              </w:rPr>
              <w:lastRenderedPageBreak/>
              <w:t xml:space="preserve">       </w:t>
            </w:r>
            <w:r w:rsidRPr="00B325C2">
              <w:rPr>
                <w:lang w:val="en-GB"/>
              </w:rPr>
              <w:t>For example, the categories and captions in the fund’s financial</w:t>
            </w:r>
            <w:r>
              <w:rPr>
                <w:lang w:val="en-GB"/>
              </w:rPr>
              <w:t xml:space="preserve"> statements might correspond to </w:t>
            </w:r>
            <w:r w:rsidRPr="00B325C2">
              <w:rPr>
                <w:lang w:val="en-GB"/>
              </w:rPr>
              <w:t xml:space="preserve">those used in the fund’s offering documents so </w:t>
            </w:r>
            <w:r>
              <w:rPr>
                <w:lang w:val="en-GB"/>
              </w:rPr>
              <w:t xml:space="preserve">that </w:t>
            </w:r>
            <w:r w:rsidRPr="00B325C2">
              <w:rPr>
                <w:lang w:val="en-GB"/>
              </w:rPr>
              <w:t>they can be easily compared.</w:t>
            </w:r>
          </w:p>
          <w:p w14:paraId="65B6AC75" w14:textId="77777777" w:rsidR="00837087" w:rsidRPr="00B325C2" w:rsidRDefault="00837087" w:rsidP="001B14A3">
            <w:pPr>
              <w:pStyle w:val="ListBullet"/>
              <w:numPr>
                <w:ilvl w:val="0"/>
                <w:numId w:val="0"/>
              </w:numPr>
              <w:shd w:val="clear" w:color="auto" w:fill="F7F9FB" w:themeFill="accent1" w:themeFillTint="33"/>
              <w:spacing w:after="120"/>
              <w:ind w:left="360" w:hanging="360"/>
              <w:rPr>
                <w:lang w:val="en-GB"/>
              </w:rPr>
            </w:pPr>
            <w:r>
              <w:rPr>
                <w:lang w:val="en-GB"/>
              </w:rPr>
              <w:t xml:space="preserve">       </w:t>
            </w:r>
            <w:r w:rsidRPr="00B325C2">
              <w:rPr>
                <w:lang w:val="en-GB"/>
              </w:rPr>
              <w:t xml:space="preserve">Managers might also consider disclosure of a total expense ratio (TER) or gross vs. net return for the period under review.  </w:t>
            </w:r>
          </w:p>
          <w:p w14:paraId="2C02FE44" w14:textId="70638DED" w:rsidR="00837087" w:rsidRPr="009414CC" w:rsidRDefault="00837087" w:rsidP="001B14A3">
            <w:pPr>
              <w:pStyle w:val="ListBullet"/>
              <w:numPr>
                <w:ilvl w:val="0"/>
                <w:numId w:val="0"/>
              </w:numPr>
              <w:shd w:val="clear" w:color="auto" w:fill="F7F9FB" w:themeFill="accent1" w:themeFillTint="33"/>
              <w:spacing w:after="120"/>
              <w:ind w:left="360" w:hanging="360"/>
            </w:pPr>
            <w:r>
              <w:rPr>
                <w:b/>
                <w:lang w:val="en-GB"/>
              </w:rPr>
              <w:t>2.6</w:t>
            </w:r>
            <w:r w:rsidR="00BF1514">
              <w:rPr>
                <w:b/>
                <w:lang w:val="en-GB"/>
              </w:rPr>
              <w:t xml:space="preserve">. </w:t>
            </w:r>
            <w:r w:rsidRPr="00B325C2">
              <w:rPr>
                <w:b/>
                <w:lang w:val="en-GB"/>
              </w:rPr>
              <w:t xml:space="preserve">On the establishment of a fund, </w:t>
            </w:r>
            <w:r>
              <w:rPr>
                <w:b/>
                <w:lang w:val="en-GB"/>
              </w:rPr>
              <w:t>a fund manager</w:t>
            </w:r>
            <w:r w:rsidRPr="00B325C2">
              <w:rPr>
                <w:b/>
                <w:lang w:val="en-GB"/>
              </w:rPr>
              <w:t xml:space="preserve"> should liaise with the fund’s administrator to ensure that the methodology for calculating fees payable to the manager (and </w:t>
            </w:r>
            <w:proofErr w:type="gramStart"/>
            <w:r w:rsidRPr="00B325C2">
              <w:rPr>
                <w:b/>
                <w:lang w:val="en-GB"/>
              </w:rPr>
              <w:t>in particular performance</w:t>
            </w:r>
            <w:proofErr w:type="gramEnd"/>
            <w:r w:rsidRPr="00B325C2">
              <w:rPr>
                <w:b/>
                <w:lang w:val="en-GB"/>
              </w:rPr>
              <w:t xml:space="preserve"> fees) is agreed in advance.  </w:t>
            </w:r>
            <w:r>
              <w:rPr>
                <w:b/>
                <w:lang w:val="en-GB"/>
              </w:rPr>
              <w:t>S</w:t>
            </w:r>
            <w:r w:rsidRPr="00B325C2">
              <w:rPr>
                <w:b/>
                <w:lang w:val="en-GB"/>
              </w:rPr>
              <w:t xml:space="preserve">uch methodology </w:t>
            </w:r>
            <w:r>
              <w:rPr>
                <w:b/>
                <w:lang w:val="en-GB"/>
              </w:rPr>
              <w:t>should be</w:t>
            </w:r>
            <w:r w:rsidRPr="00B325C2">
              <w:rPr>
                <w:b/>
                <w:lang w:val="en-GB"/>
              </w:rPr>
              <w:t xml:space="preserve"> accurately described in the fund’s offering documents.</w:t>
            </w:r>
            <w:r>
              <w:fldChar w:fldCharType="begin"/>
            </w:r>
            <w:r>
              <w:instrText xml:space="preserve"> NOTEREF _Ref298147351 \h  \* MERGEFORMAT </w:instrText>
            </w:r>
            <w:r>
              <w:fldChar w:fldCharType="separate"/>
            </w:r>
            <w:r w:rsidR="001F7CB0" w:rsidRPr="001F7CB0">
              <w:rPr>
                <w:b/>
                <w:vertAlign w:val="superscript"/>
                <w:lang w:val="en-GB"/>
              </w:rPr>
              <w:t>4</w:t>
            </w:r>
            <w:r>
              <w:fldChar w:fldCharType="end"/>
            </w:r>
          </w:p>
        </w:tc>
      </w:tr>
      <w:bookmarkEnd w:id="1"/>
    </w:tbl>
    <w:p w14:paraId="1F104D64" w14:textId="77777777" w:rsidR="00837087" w:rsidRDefault="00837087" w:rsidP="00837087">
      <w:pPr>
        <w:spacing w:after="0"/>
        <w:rPr>
          <w:bCs/>
          <w:i/>
          <w:iCs/>
        </w:rPr>
      </w:pPr>
    </w:p>
    <w:p w14:paraId="4F75C9B2" w14:textId="77777777" w:rsidR="00837087" w:rsidRDefault="00837087" w:rsidP="00837087">
      <w:pPr>
        <w:spacing w:after="0"/>
        <w:rPr>
          <w:bCs/>
          <w:i/>
          <w:iCs/>
        </w:rPr>
      </w:pPr>
      <w:r>
        <w:rPr>
          <w:bCs/>
          <w:i/>
          <w:iCs/>
        </w:rPr>
        <w:t>Further guidance on this topic can be found in the SBAI’s Toolbox Memo on Conflicts of Interest in Parallel Funds</w:t>
      </w:r>
      <w:r>
        <w:rPr>
          <w:rStyle w:val="FootnoteReference"/>
          <w:bCs/>
          <w:i/>
          <w:iCs/>
        </w:rPr>
        <w:footnoteReference w:id="10"/>
      </w:r>
      <w:r>
        <w:rPr>
          <w:bCs/>
          <w:i/>
          <w:iCs/>
        </w:rPr>
        <w:t>.</w:t>
      </w:r>
    </w:p>
    <w:p w14:paraId="74C79FBB" w14:textId="77777777" w:rsidR="00837087" w:rsidRDefault="00837087" w:rsidP="00837087">
      <w:pPr>
        <w:spacing w:after="0"/>
        <w:rPr>
          <w:b/>
        </w:rPr>
      </w:pPr>
    </w:p>
    <w:p w14:paraId="2947C29E" w14:textId="41944032" w:rsidR="00837087" w:rsidRPr="00EC262E" w:rsidRDefault="00837087" w:rsidP="00837087">
      <w:pPr>
        <w:rPr>
          <w:b/>
        </w:rPr>
      </w:pPr>
      <w:r>
        <w:rPr>
          <w:b/>
        </w:rPr>
        <w:t xml:space="preserve">Example of </w:t>
      </w:r>
      <w:r w:rsidRPr="00EC262E">
        <w:rPr>
          <w:b/>
        </w:rPr>
        <w:t>no</w:t>
      </w:r>
      <w:r>
        <w:rPr>
          <w:b/>
        </w:rPr>
        <w:t>n-binding guidance</w:t>
      </w:r>
      <w:r w:rsidRPr="00EC262E">
        <w:rPr>
          <w:b/>
        </w:rPr>
        <w:t xml:space="preserve"> to determine </w:t>
      </w:r>
      <w:r>
        <w:rPr>
          <w:b/>
        </w:rPr>
        <w:t>“</w:t>
      </w:r>
      <w:r w:rsidR="00EA0B8E" w:rsidRPr="00EC262E">
        <w:rPr>
          <w:b/>
        </w:rPr>
        <w:t>similarity</w:t>
      </w:r>
      <w:r w:rsidR="00EA0B8E">
        <w:rPr>
          <w:b/>
        </w:rPr>
        <w:t>”.</w:t>
      </w:r>
    </w:p>
    <w:tbl>
      <w:tblPr>
        <w:tblStyle w:val="TableGrid"/>
        <w:tblW w:w="0" w:type="auto"/>
        <w:tblLook w:val="04A0" w:firstRow="1" w:lastRow="0" w:firstColumn="1" w:lastColumn="0" w:noHBand="0" w:noVBand="1"/>
      </w:tblPr>
      <w:tblGrid>
        <w:gridCol w:w="8928"/>
      </w:tblGrid>
      <w:tr w:rsidR="00837087" w14:paraId="14F69B08" w14:textId="77777777" w:rsidTr="001B14A3">
        <w:tc>
          <w:tcPr>
            <w:tcW w:w="8928" w:type="dxa"/>
          </w:tcPr>
          <w:p w14:paraId="410200A3" w14:textId="77777777" w:rsidR="00837087" w:rsidRDefault="00837087" w:rsidP="00837087">
            <w:pPr>
              <w:pStyle w:val="ListParagraph"/>
              <w:numPr>
                <w:ilvl w:val="0"/>
                <w:numId w:val="15"/>
              </w:numPr>
              <w:tabs>
                <w:tab w:val="left" w:pos="532"/>
                <w:tab w:val="left" w:pos="877"/>
              </w:tabs>
              <w:spacing w:before="0" w:after="0" w:line="259" w:lineRule="auto"/>
              <w:contextualSpacing/>
              <w:rPr>
                <w:bCs w:val="0"/>
              </w:rPr>
            </w:pPr>
            <w:r w:rsidRPr="00CB6B59">
              <w:t>The Portfolio Manager or investment team, the investment mandate (i.e., equity, fixed income, macro) and the strategy or style (i.e., market neutral, relative value, trend following) will all need to be the same.</w:t>
            </w:r>
          </w:p>
          <w:p w14:paraId="04DF53DF" w14:textId="77777777" w:rsidR="00837087" w:rsidRDefault="00837087" w:rsidP="00133E7E">
            <w:pPr>
              <w:pStyle w:val="ListParagraph"/>
              <w:numPr>
                <w:ilvl w:val="0"/>
                <w:numId w:val="0"/>
              </w:numPr>
              <w:tabs>
                <w:tab w:val="left" w:pos="532"/>
                <w:tab w:val="left" w:pos="877"/>
              </w:tabs>
              <w:spacing w:after="0" w:line="259" w:lineRule="auto"/>
              <w:ind w:left="630"/>
              <w:rPr>
                <w:bCs w:val="0"/>
              </w:rPr>
            </w:pPr>
          </w:p>
          <w:p w14:paraId="06A13FA6" w14:textId="77777777" w:rsidR="00837087" w:rsidRPr="00CB6B59" w:rsidRDefault="00837087" w:rsidP="00837087">
            <w:pPr>
              <w:pStyle w:val="ListParagraph"/>
              <w:numPr>
                <w:ilvl w:val="0"/>
                <w:numId w:val="15"/>
              </w:numPr>
              <w:tabs>
                <w:tab w:val="left" w:pos="532"/>
                <w:tab w:val="left" w:pos="877"/>
              </w:tabs>
              <w:spacing w:before="0" w:after="0" w:line="259" w:lineRule="auto"/>
              <w:contextualSpacing/>
              <w:rPr>
                <w:bCs w:val="0"/>
              </w:rPr>
            </w:pPr>
            <w:r w:rsidRPr="00CB6B59">
              <w:t>Additionally, the “similar” fund or separately managed account will have to have an 80% overlap in the following 4 areas (an example follows each item):</w:t>
            </w:r>
          </w:p>
          <w:p w14:paraId="7313682B" w14:textId="77777777" w:rsidR="00837087" w:rsidRPr="00BE6D0E" w:rsidRDefault="00837087" w:rsidP="00837087">
            <w:pPr>
              <w:numPr>
                <w:ilvl w:val="0"/>
                <w:numId w:val="16"/>
              </w:numPr>
              <w:tabs>
                <w:tab w:val="left" w:pos="967"/>
              </w:tabs>
              <w:spacing w:line="259" w:lineRule="auto"/>
              <w:ind w:left="1237"/>
              <w:jc w:val="left"/>
              <w:rPr>
                <w:bCs/>
              </w:rPr>
            </w:pPr>
            <w:r w:rsidRPr="004D4F47">
              <w:rPr>
                <w:b/>
                <w:bCs/>
                <w:i/>
              </w:rPr>
              <w:t>Asset classes traded</w:t>
            </w:r>
            <w:r w:rsidRPr="00BE6D0E">
              <w:rPr>
                <w:bCs/>
              </w:rPr>
              <w:t xml:space="preserve"> (i.e., mortgages, equity, credit, FX) - If the fund is 100% equities</w:t>
            </w:r>
            <w:r>
              <w:rPr>
                <w:bCs/>
              </w:rPr>
              <w:t>,</w:t>
            </w:r>
            <w:r w:rsidRPr="00BE6D0E">
              <w:rPr>
                <w:bCs/>
              </w:rPr>
              <w:t xml:space="preserve"> then other funds/sleeves must have at least 80% in equities to be classified as similar.</w:t>
            </w:r>
          </w:p>
          <w:p w14:paraId="4A90218C" w14:textId="77777777" w:rsidR="00837087" w:rsidRPr="00B3666B" w:rsidRDefault="00837087" w:rsidP="00837087">
            <w:pPr>
              <w:numPr>
                <w:ilvl w:val="0"/>
                <w:numId w:val="16"/>
              </w:numPr>
              <w:tabs>
                <w:tab w:val="left" w:pos="967"/>
              </w:tabs>
              <w:spacing w:line="259" w:lineRule="auto"/>
              <w:ind w:left="1237"/>
              <w:jc w:val="left"/>
              <w:rPr>
                <w:bCs/>
              </w:rPr>
            </w:pPr>
            <w:r w:rsidRPr="004D4F47">
              <w:rPr>
                <w:b/>
                <w:bCs/>
                <w:i/>
              </w:rPr>
              <w:t>Target risk and return</w:t>
            </w:r>
            <w:r w:rsidRPr="00BE6D0E">
              <w:rPr>
                <w:bCs/>
              </w:rPr>
              <w:t xml:space="preserve"> - Funds must have similar risk-return targets (measured by Sharpe or Information Ratio) to be classified as similar. </w:t>
            </w:r>
            <w:r>
              <w:rPr>
                <w:bCs/>
              </w:rPr>
              <w:t>Thus, i</w:t>
            </w:r>
            <w:r w:rsidRPr="00BE6D0E">
              <w:rPr>
                <w:bCs/>
              </w:rPr>
              <w:t>f the fund targets a Sharpe ratio of 1</w:t>
            </w:r>
            <w:r>
              <w:rPr>
                <w:bCs/>
              </w:rPr>
              <w:t>,</w:t>
            </w:r>
            <w:r w:rsidRPr="00BE6D0E">
              <w:rPr>
                <w:bCs/>
              </w:rPr>
              <w:t xml:space="preserve"> then “similar” funds must target a Sharpe between 0.8 and 1.2</w:t>
            </w:r>
            <w:r>
              <w:rPr>
                <w:bCs/>
              </w:rPr>
              <w:t xml:space="preserve"> </w:t>
            </w:r>
            <w:r w:rsidRPr="00B3666B">
              <w:rPr>
                <w:bCs/>
              </w:rPr>
              <w:t xml:space="preserve">(+/-20% band). </w:t>
            </w:r>
          </w:p>
          <w:p w14:paraId="1663CF4E" w14:textId="77777777" w:rsidR="00837087" w:rsidRDefault="00837087" w:rsidP="00837087">
            <w:pPr>
              <w:numPr>
                <w:ilvl w:val="0"/>
                <w:numId w:val="16"/>
              </w:numPr>
              <w:tabs>
                <w:tab w:val="left" w:pos="967"/>
              </w:tabs>
              <w:spacing w:line="240" w:lineRule="auto"/>
              <w:ind w:left="1237"/>
              <w:jc w:val="left"/>
              <w:rPr>
                <w:bCs/>
              </w:rPr>
            </w:pPr>
            <w:r w:rsidRPr="004D4F47">
              <w:rPr>
                <w:b/>
                <w:bCs/>
                <w:i/>
              </w:rPr>
              <w:t>Time horizon of positions</w:t>
            </w:r>
            <w:r w:rsidRPr="00BE6D0E">
              <w:rPr>
                <w:bCs/>
              </w:rPr>
              <w:t xml:space="preserve"> - If the average holding period for the fund is 3 months</w:t>
            </w:r>
            <w:r>
              <w:rPr>
                <w:bCs/>
              </w:rPr>
              <w:t>,</w:t>
            </w:r>
            <w:r w:rsidRPr="00BE6D0E">
              <w:rPr>
                <w:bCs/>
              </w:rPr>
              <w:t xml:space="preserve"> then the holding period for the similar fund needs to be between 2.4 to 3.6 months (+/- 20% band).</w:t>
            </w:r>
          </w:p>
          <w:p w14:paraId="0E1495D7" w14:textId="77777777" w:rsidR="00837087" w:rsidRDefault="00837087" w:rsidP="00837087">
            <w:pPr>
              <w:numPr>
                <w:ilvl w:val="0"/>
                <w:numId w:val="16"/>
              </w:numPr>
              <w:tabs>
                <w:tab w:val="left" w:pos="967"/>
              </w:tabs>
              <w:spacing w:line="259" w:lineRule="auto"/>
              <w:ind w:left="1237"/>
              <w:jc w:val="left"/>
              <w:rPr>
                <w:bCs/>
              </w:rPr>
            </w:pPr>
            <w:r w:rsidRPr="004D4F47">
              <w:rPr>
                <w:b/>
                <w:bCs/>
                <w:i/>
              </w:rPr>
              <w:t>Average liquidity of positions</w:t>
            </w:r>
            <w:r w:rsidRPr="00BE6D0E">
              <w:rPr>
                <w:bCs/>
              </w:rPr>
              <w:t xml:space="preserve"> - If the average liquidity profile of the fund is 10 days</w:t>
            </w:r>
            <w:r>
              <w:rPr>
                <w:bCs/>
              </w:rPr>
              <w:t>,</w:t>
            </w:r>
            <w:r w:rsidRPr="00BE6D0E">
              <w:rPr>
                <w:bCs/>
              </w:rPr>
              <w:t xml:space="preserve"> then the similar fund needs to have an average liquidity profile between 8 to 12 days to be classified as similar (+/- 20% band).</w:t>
            </w:r>
          </w:p>
          <w:p w14:paraId="46C51CEA" w14:textId="77777777" w:rsidR="00837087" w:rsidRPr="00BE6D0E" w:rsidRDefault="00837087" w:rsidP="001B14A3">
            <w:pPr>
              <w:tabs>
                <w:tab w:val="left" w:pos="967"/>
              </w:tabs>
              <w:spacing w:line="259" w:lineRule="auto"/>
              <w:ind w:left="1237"/>
              <w:rPr>
                <w:bCs/>
              </w:rPr>
            </w:pPr>
          </w:p>
          <w:p w14:paraId="12F3259C" w14:textId="77777777" w:rsidR="00837087" w:rsidRPr="00CD083F" w:rsidRDefault="00837087" w:rsidP="00837087">
            <w:pPr>
              <w:pStyle w:val="ListParagraph"/>
              <w:numPr>
                <w:ilvl w:val="0"/>
                <w:numId w:val="15"/>
              </w:numPr>
              <w:tabs>
                <w:tab w:val="left" w:pos="877"/>
              </w:tabs>
              <w:spacing w:before="0" w:after="0" w:line="240" w:lineRule="auto"/>
              <w:ind w:left="607" w:hanging="270"/>
              <w:contextualSpacing/>
              <w:rPr>
                <w:bCs w:val="0"/>
              </w:rPr>
            </w:pPr>
            <w:r w:rsidRPr="00B3666B">
              <w:t>A multi-strategy fund would have to have 80% overlap of allocations among sub-strategies, and the sub-strategies would have to be substantially similar (80%)</w:t>
            </w:r>
            <w:r>
              <w:t>,</w:t>
            </w:r>
            <w:r w:rsidRPr="00B3666B">
              <w:t xml:space="preserve"> as in item 2 above.</w:t>
            </w:r>
          </w:p>
        </w:tc>
      </w:tr>
    </w:tbl>
    <w:p w14:paraId="085141AB" w14:textId="77777777" w:rsidR="004E11E6" w:rsidRDefault="004E11E6" w:rsidP="004E11E6">
      <w:pPr>
        <w:pStyle w:val="NoSpacing"/>
      </w:pPr>
    </w:p>
    <w:p w14:paraId="6F19296A" w14:textId="644D660F" w:rsidR="00BB6C7F" w:rsidRDefault="00BB6C7F" w:rsidP="004E11E6">
      <w:pPr>
        <w:pStyle w:val="Heading3"/>
      </w:pPr>
      <w:r w:rsidRPr="00B325C2">
        <w:t xml:space="preserve">Disclosure to </w:t>
      </w:r>
      <w:r>
        <w:t>L</w:t>
      </w:r>
      <w:r w:rsidRPr="00B325C2">
        <w:t>enders/</w:t>
      </w:r>
      <w:r>
        <w:t>P</w:t>
      </w:r>
      <w:r w:rsidRPr="00B325C2">
        <w:t xml:space="preserve">rime </w:t>
      </w:r>
      <w:r>
        <w:t>B</w:t>
      </w:r>
      <w:r w:rsidRPr="00B325C2">
        <w:t>rokers/</w:t>
      </w:r>
      <w:r>
        <w:t>D</w:t>
      </w:r>
      <w:r w:rsidRPr="00B325C2">
        <w:t>ealers</w:t>
      </w:r>
      <w:r>
        <w:t xml:space="preserve"> -</w:t>
      </w:r>
      <w:r w:rsidRPr="00B325C2">
        <w:t xml:space="preserve"> Standards and Guidance [4]</w:t>
      </w:r>
    </w:p>
    <w:p w14:paraId="3356A9BD" w14:textId="77777777" w:rsidR="00BB6C7F" w:rsidRPr="00947498" w:rsidRDefault="00BB6C7F" w:rsidP="00BB6C7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BB6C7F" w:rsidRPr="00B325C2" w14:paraId="77302460" w14:textId="77777777" w:rsidTr="001B14A3">
        <w:tc>
          <w:tcPr>
            <w:tcW w:w="9464" w:type="dxa"/>
            <w:shd w:val="clear" w:color="auto" w:fill="F7F9FB" w:themeFill="accent1" w:themeFillTint="33"/>
          </w:tcPr>
          <w:p w14:paraId="1EBA9699" w14:textId="2518D1AE" w:rsidR="00BB6C7F" w:rsidRDefault="00BB6C7F" w:rsidP="001B14A3">
            <w:pPr>
              <w:pStyle w:val="ListBullet"/>
              <w:numPr>
                <w:ilvl w:val="0"/>
                <w:numId w:val="0"/>
              </w:numPr>
              <w:ind w:left="360" w:hanging="360"/>
              <w:rPr>
                <w:rFonts w:ascii="Arial Black" w:hAnsi="Arial Black" w:cs="Arial"/>
                <w:b/>
                <w:sz w:val="20"/>
                <w:lang w:val="en-GB"/>
              </w:rPr>
            </w:pPr>
            <w:r>
              <w:rPr>
                <w:b/>
                <w:lang w:val="en-GB"/>
              </w:rPr>
              <w:t>4.1. A fund manager</w:t>
            </w:r>
            <w:r w:rsidRPr="00B325C2">
              <w:rPr>
                <w:b/>
                <w:lang w:val="en-GB"/>
              </w:rPr>
              <w:t xml:space="preserve"> should, </w:t>
            </w:r>
            <w:r w:rsidRPr="00BD306B">
              <w:rPr>
                <w:b/>
                <w:lang w:val="en-GB"/>
              </w:rPr>
              <w:t>subject to obtaining the consent of the fund’s governing body,</w:t>
            </w:r>
            <w:r w:rsidRPr="00B325C2">
              <w:rPr>
                <w:b/>
                <w:lang w:val="en-GB"/>
              </w:rPr>
              <w:t xml:space="preserve"> provide, or do what it reasonably can to enable and encourage the fund's administrator to provide, any agreed information reports to the fund's counterparties in a timely manner.</w:t>
            </w:r>
          </w:p>
        </w:tc>
      </w:tr>
    </w:tbl>
    <w:p w14:paraId="5692D3A2" w14:textId="77777777" w:rsidR="00193A0D" w:rsidRDefault="00193A0D" w:rsidP="004E11E6">
      <w:pPr>
        <w:pStyle w:val="Heading2"/>
        <w:rPr>
          <w:lang w:val="en-US" w:bidi="en-US"/>
        </w:rPr>
      </w:pPr>
    </w:p>
    <w:p w14:paraId="57B45215" w14:textId="1DB8D367" w:rsidR="0061206C" w:rsidRPr="0090033B" w:rsidRDefault="0061206C" w:rsidP="004E11E6">
      <w:pPr>
        <w:pStyle w:val="Heading2"/>
        <w:rPr>
          <w:lang w:val="en-US" w:bidi="en-US"/>
        </w:rPr>
      </w:pPr>
      <w:r w:rsidRPr="0090033B">
        <w:rPr>
          <w:lang w:val="en-US" w:bidi="en-US"/>
        </w:rPr>
        <w:t>B.</w:t>
      </w:r>
      <w:r w:rsidR="0090033B">
        <w:rPr>
          <w:lang w:val="en-US" w:bidi="en-US"/>
        </w:rPr>
        <w:t xml:space="preserve"> </w:t>
      </w:r>
      <w:r w:rsidRPr="0090033B">
        <w:rPr>
          <w:lang w:val="en-US" w:bidi="en-US"/>
        </w:rPr>
        <w:t>Valuation [5]-[8]</w:t>
      </w:r>
    </w:p>
    <w:p w14:paraId="3BBDE33E" w14:textId="77777777" w:rsidR="0061206C" w:rsidRDefault="0061206C" w:rsidP="0061206C">
      <w:pPr>
        <w:spacing w:after="0"/>
      </w:pPr>
      <w:bookmarkStart w:id="5" w:name="_Toc181508659"/>
      <w:bookmarkStart w:id="6" w:name="_Toc185306143"/>
    </w:p>
    <w:p w14:paraId="7EC3A5C6" w14:textId="77777777" w:rsidR="0061206C" w:rsidRDefault="0061206C" w:rsidP="0061206C">
      <w:r w:rsidRPr="00B325C2">
        <w:t>While valuation is generally expressed as a single number it is important to recognise that the single number is merely the expression of a range of potential outcomes that derive from the valuation process. It follows that investors need to be informed about the valuation process and have confidence in its breadth and</w:t>
      </w:r>
      <w:r w:rsidRPr="00B325C2">
        <w:rPr>
          <w:b/>
        </w:rPr>
        <w:t xml:space="preserve"> </w:t>
      </w:r>
      <w:r w:rsidRPr="00B325C2">
        <w:t xml:space="preserve">robustness. </w:t>
      </w:r>
      <w:r>
        <w:t xml:space="preserve"> The following areas are of </w:t>
      </w:r>
      <w:proofErr w:type="gramStart"/>
      <w:r>
        <w:t>particular relevance</w:t>
      </w:r>
      <w:proofErr w:type="gramEnd"/>
      <w:r>
        <w:t xml:space="preserve"> in this context: </w:t>
      </w:r>
    </w:p>
    <w:p w14:paraId="32BB9E7B" w14:textId="77777777" w:rsidR="0061206C" w:rsidRDefault="0061206C" w:rsidP="0061206C">
      <w:pPr>
        <w:pStyle w:val="ListParagraph"/>
        <w:numPr>
          <w:ilvl w:val="0"/>
          <w:numId w:val="17"/>
        </w:numPr>
        <w:spacing w:before="0" w:after="200" w:line="276" w:lineRule="auto"/>
        <w:contextualSpacing/>
        <w:rPr>
          <w:lang w:val="en-GB"/>
        </w:rPr>
      </w:pPr>
      <w:r>
        <w:rPr>
          <w:lang w:val="en-GB"/>
        </w:rPr>
        <w:t>Segregation of functions in valuation</w:t>
      </w:r>
    </w:p>
    <w:p w14:paraId="62BBB0C5" w14:textId="77777777" w:rsidR="0061206C" w:rsidRDefault="0061206C" w:rsidP="0061206C">
      <w:pPr>
        <w:pStyle w:val="ListParagraph"/>
        <w:numPr>
          <w:ilvl w:val="0"/>
          <w:numId w:val="17"/>
        </w:numPr>
        <w:spacing w:before="0" w:after="200" w:line="276" w:lineRule="auto"/>
        <w:contextualSpacing/>
        <w:rPr>
          <w:lang w:val="en-GB"/>
        </w:rPr>
      </w:pPr>
      <w:r>
        <w:rPr>
          <w:lang w:val="en-GB"/>
        </w:rPr>
        <w:t>Approach to handling and valuing of hard-to-value assets</w:t>
      </w:r>
    </w:p>
    <w:p w14:paraId="55795879" w14:textId="77777777" w:rsidR="0061206C" w:rsidRDefault="0061206C" w:rsidP="0061206C">
      <w:pPr>
        <w:pStyle w:val="ListParagraph"/>
        <w:numPr>
          <w:ilvl w:val="0"/>
          <w:numId w:val="17"/>
        </w:numPr>
        <w:spacing w:before="0" w:after="200" w:line="276" w:lineRule="auto"/>
        <w:contextualSpacing/>
        <w:rPr>
          <w:lang w:val="en-GB"/>
        </w:rPr>
      </w:pPr>
      <w:r>
        <w:rPr>
          <w:lang w:val="en-GB"/>
        </w:rPr>
        <w:t>Investor disclosure of the governance arrangements and hard-to-value assets</w:t>
      </w:r>
    </w:p>
    <w:p w14:paraId="2B43EACE" w14:textId="77777777" w:rsidR="0061206C" w:rsidRPr="00947498" w:rsidRDefault="0061206C" w:rsidP="0061206C">
      <w:r>
        <w:t>Further guidance on Valuation in Alternative Credit</w:t>
      </w:r>
      <w:r>
        <w:rPr>
          <w:rStyle w:val="FootnoteReference"/>
        </w:rPr>
        <w:footnoteReference w:id="11"/>
      </w:r>
      <w:r>
        <w:t xml:space="preserve"> and Insurance Linked Strategies</w:t>
      </w:r>
      <w:r>
        <w:rPr>
          <w:rStyle w:val="FootnoteReference"/>
        </w:rPr>
        <w:footnoteReference w:id="12"/>
      </w:r>
      <w:r>
        <w:t xml:space="preserve"> can be found in the SBAI Toolbox.</w:t>
      </w:r>
    </w:p>
    <w:p w14:paraId="6793BA4C" w14:textId="77777777" w:rsidR="0061206C" w:rsidRPr="004E11E6" w:rsidRDefault="0061206C" w:rsidP="004E11E6">
      <w:pPr>
        <w:pStyle w:val="Heading3"/>
      </w:pPr>
      <w:r w:rsidRPr="004E11E6">
        <w:t>Segregation of Functions in Valuation – Governance</w:t>
      </w:r>
      <w:bookmarkEnd w:id="5"/>
      <w:bookmarkEnd w:id="6"/>
      <w:r w:rsidRPr="004E11E6">
        <w:t xml:space="preserve"> Standards and Guidance [5]</w:t>
      </w:r>
    </w:p>
    <w:p w14:paraId="295EF12B" w14:textId="77777777" w:rsidR="0061206C" w:rsidRPr="00947498" w:rsidRDefault="0061206C" w:rsidP="0061206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61206C" w:rsidRPr="00B325C2" w14:paraId="2606033F" w14:textId="77777777" w:rsidTr="001B14A3">
        <w:trPr>
          <w:trHeight w:val="929"/>
        </w:trPr>
        <w:tc>
          <w:tcPr>
            <w:tcW w:w="9464" w:type="dxa"/>
            <w:shd w:val="clear" w:color="auto" w:fill="F7F9FB" w:themeFill="accent1" w:themeFillTint="33"/>
          </w:tcPr>
          <w:p w14:paraId="3A56C641" w14:textId="0E2BDFF2" w:rsidR="0061206C" w:rsidRDefault="0061206C" w:rsidP="001B14A3">
            <w:pPr>
              <w:pStyle w:val="ListBullet"/>
              <w:numPr>
                <w:ilvl w:val="0"/>
                <w:numId w:val="0"/>
              </w:numPr>
              <w:ind w:left="360" w:hanging="360"/>
              <w:rPr>
                <w:b/>
                <w:lang w:val="en-GB"/>
              </w:rPr>
            </w:pPr>
            <w:r>
              <w:rPr>
                <w:b/>
                <w:noProof/>
                <w:lang w:val="en-GB" w:eastAsia="en-GB" w:bidi="ar-SA"/>
              </w:rPr>
              <mc:AlternateContent>
                <mc:Choice Requires="wps">
                  <w:drawing>
                    <wp:anchor distT="0" distB="0" distL="114300" distR="114300" simplePos="0" relativeHeight="251662336" behindDoc="1" locked="0" layoutInCell="0" allowOverlap="1" wp14:anchorId="4765C572" wp14:editId="2654740B">
                      <wp:simplePos x="0" y="0"/>
                      <wp:positionH relativeFrom="page">
                        <wp:posOffset>4116705</wp:posOffset>
                      </wp:positionH>
                      <wp:positionV relativeFrom="paragraph">
                        <wp:posOffset>4361180</wp:posOffset>
                      </wp:positionV>
                      <wp:extent cx="0" cy="0"/>
                      <wp:effectExtent l="11430" t="12700" r="7620" b="6350"/>
                      <wp:wrapNone/>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08B757" id="Freeform 2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15pt,343.4pt,324.15pt,343.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" o:allowincell="f" filled="f" strokecolor="#000750" strokeweight=".5pt">
                      <v:path arrowok="t" o:connecttype="custom" o:connectlocs="0,0;0,0" o:connectangles="0,0"/>
                      <w10:wrap anchorx="page"/>
                    </v:polyline>
                  </w:pict>
                </mc:Fallback>
              </mc:AlternateContent>
            </w:r>
            <w:r>
              <w:rPr>
                <w:b/>
                <w:lang w:val="en-GB"/>
              </w:rPr>
              <w:t>5.1</w:t>
            </w:r>
            <w:r w:rsidR="004E11E6">
              <w:rPr>
                <w:b/>
                <w:lang w:val="en-GB"/>
              </w:rPr>
              <w:t xml:space="preserve"> </w:t>
            </w:r>
            <w:r>
              <w:rPr>
                <w:b/>
                <w:lang w:val="en-GB"/>
              </w:rPr>
              <w:t>V</w:t>
            </w:r>
            <w:r w:rsidRPr="00B325C2">
              <w:rPr>
                <w:b/>
                <w:lang w:val="en-GB"/>
              </w:rPr>
              <w:t>aluation arrangements aimed at addressing and mitigating conflicts of interest in relation to asset valuation</w:t>
            </w:r>
            <w:r>
              <w:rPr>
                <w:b/>
                <w:lang w:val="en-GB"/>
              </w:rPr>
              <w:t xml:space="preserve"> should be put in place</w:t>
            </w:r>
            <w:r w:rsidRPr="00B325C2">
              <w:rPr>
                <w:b/>
                <w:lang w:val="en-GB"/>
              </w:rPr>
              <w:t>.</w:t>
            </w:r>
            <w:bookmarkStart w:id="7" w:name="_Ref298147528"/>
            <w:r>
              <w:rPr>
                <w:rStyle w:val="FootnoteReference"/>
                <w:b/>
                <w:lang w:val="en-GB"/>
              </w:rPr>
              <w:footnoteReference w:id="13"/>
            </w:r>
            <w:bookmarkEnd w:id="7"/>
            <w:r w:rsidRPr="00B325C2">
              <w:rPr>
                <w:b/>
                <w:lang w:val="en-GB"/>
              </w:rPr>
              <w:t xml:space="preserve"> </w:t>
            </w:r>
          </w:p>
          <w:p w14:paraId="2E0077F7" w14:textId="57ABF20A" w:rsidR="0061206C" w:rsidRPr="00EE6A05" w:rsidRDefault="0061206C" w:rsidP="001B14A3">
            <w:pPr>
              <w:pStyle w:val="ListBullet"/>
              <w:numPr>
                <w:ilvl w:val="0"/>
                <w:numId w:val="0"/>
              </w:numPr>
              <w:ind w:left="360"/>
              <w:rPr>
                <w:lang w:val="en-GB"/>
              </w:rPr>
            </w:pPr>
            <w:r w:rsidRPr="00B325C2">
              <w:rPr>
                <w:lang w:val="en-GB"/>
              </w:rPr>
              <w:t xml:space="preserve">The </w:t>
            </w:r>
            <w:r>
              <w:rPr>
                <w:lang w:val="en-GB"/>
              </w:rPr>
              <w:t>SBAI</w:t>
            </w:r>
            <w:r w:rsidRPr="00B325C2">
              <w:rPr>
                <w:lang w:val="en-GB"/>
              </w:rPr>
              <w:t xml:space="preserve"> believes that the most satisfactory way to achieve this is </w:t>
            </w:r>
            <w:r>
              <w:rPr>
                <w:lang w:val="en-GB"/>
              </w:rPr>
              <w:t xml:space="preserve">the </w:t>
            </w:r>
            <w:r w:rsidRPr="00B325C2">
              <w:rPr>
                <w:lang w:val="en-GB"/>
              </w:rPr>
              <w:t>appoint</w:t>
            </w:r>
            <w:r>
              <w:rPr>
                <w:lang w:val="en-GB"/>
              </w:rPr>
              <w:t>ment of</w:t>
            </w:r>
            <w:r w:rsidRPr="00B325C2">
              <w:rPr>
                <w:lang w:val="en-GB"/>
              </w:rPr>
              <w:t xml:space="preserve"> an independent and competent third</w:t>
            </w:r>
            <w:r>
              <w:rPr>
                <w:lang w:val="en-GB"/>
              </w:rPr>
              <w:t>-</w:t>
            </w:r>
            <w:r w:rsidRPr="00B325C2">
              <w:rPr>
                <w:lang w:val="en-GB"/>
              </w:rPr>
              <w:t>party valuation service provider.</w:t>
            </w:r>
            <w:r>
              <w:fldChar w:fldCharType="begin"/>
            </w:r>
            <w:r>
              <w:instrText xml:space="preserve"> NOTEREF _Ref298147528 \h  \* MERGEFORMAT </w:instrText>
            </w:r>
            <w:r>
              <w:fldChar w:fldCharType="separate"/>
            </w:r>
            <w:r w:rsidR="001F7CB0" w:rsidRPr="001F7CB0">
              <w:rPr>
                <w:vertAlign w:val="superscript"/>
                <w:lang w:val="en-GB"/>
              </w:rPr>
              <w:t>13</w:t>
            </w:r>
            <w:r>
              <w:fldChar w:fldCharType="end"/>
            </w:r>
          </w:p>
          <w:p w14:paraId="63071C17" w14:textId="77777777" w:rsidR="0061206C" w:rsidRPr="00EE6A05" w:rsidRDefault="0061206C" w:rsidP="001B14A3">
            <w:pPr>
              <w:pStyle w:val="ListBullet"/>
              <w:numPr>
                <w:ilvl w:val="0"/>
                <w:numId w:val="0"/>
              </w:numPr>
              <w:ind w:left="360"/>
              <w:rPr>
                <w:lang w:val="en-GB"/>
              </w:rPr>
            </w:pPr>
            <w:r w:rsidRPr="00B325C2">
              <w:rPr>
                <w:lang w:val="en-GB"/>
              </w:rPr>
              <w:t xml:space="preserve">The </w:t>
            </w:r>
            <w:r>
              <w:rPr>
                <w:lang w:val="en-GB"/>
              </w:rPr>
              <w:t>SBAI</w:t>
            </w:r>
            <w:r w:rsidRPr="00B325C2">
              <w:rPr>
                <w:lang w:val="en-GB"/>
              </w:rPr>
              <w:t xml:space="preserve"> acknowledges, however, that in some cases it will not be possible in practice to achieve both independence and the required level of competence by appointing a third</w:t>
            </w:r>
            <w:r>
              <w:rPr>
                <w:lang w:val="en-GB"/>
              </w:rPr>
              <w:t>-</w:t>
            </w:r>
            <w:r w:rsidRPr="00B325C2">
              <w:rPr>
                <w:lang w:val="en-GB"/>
              </w:rPr>
              <w:t xml:space="preserve">party valuation service provider, in which case the involvement of the </w:t>
            </w:r>
            <w:r>
              <w:rPr>
                <w:lang w:val="en-GB"/>
              </w:rPr>
              <w:t>fund manager</w:t>
            </w:r>
            <w:r w:rsidRPr="00B325C2">
              <w:rPr>
                <w:lang w:val="en-GB"/>
              </w:rPr>
              <w:t xml:space="preserve"> in the asset valuation process will, to a greater or lesser extent, be unavoidable.  </w:t>
            </w:r>
          </w:p>
          <w:p w14:paraId="22CD84A2" w14:textId="65CBEF69" w:rsidR="0061206C" w:rsidRDefault="0061206C" w:rsidP="001B14A3">
            <w:pPr>
              <w:pStyle w:val="ListBullet"/>
              <w:numPr>
                <w:ilvl w:val="0"/>
                <w:numId w:val="0"/>
              </w:numPr>
              <w:ind w:left="360" w:hanging="360"/>
              <w:rPr>
                <w:b/>
                <w:lang w:val="en-GB"/>
              </w:rPr>
            </w:pPr>
            <w:r>
              <w:rPr>
                <w:b/>
                <w:lang w:val="en-GB"/>
              </w:rPr>
              <w:t>5.2</w:t>
            </w:r>
            <w:r w:rsidR="004E11E6">
              <w:rPr>
                <w:b/>
                <w:lang w:val="en-GB"/>
              </w:rPr>
              <w:t xml:space="preserve">. </w:t>
            </w:r>
            <w:r w:rsidRPr="00B325C2">
              <w:rPr>
                <w:b/>
                <w:lang w:val="en-GB"/>
              </w:rPr>
              <w:t xml:space="preserve">Where </w:t>
            </w:r>
            <w:r>
              <w:rPr>
                <w:b/>
                <w:lang w:val="en-GB"/>
              </w:rPr>
              <w:t>a fund manager</w:t>
            </w:r>
            <w:r w:rsidRPr="00B325C2">
              <w:rPr>
                <w:b/>
                <w:lang w:val="en-GB"/>
              </w:rPr>
              <w:t xml:space="preserve"> determines the value of any of the fund's assets (whether by performing valuations in-house or providing final prices to a valuation service provider), it should operate a valuation function which is segregated from the portfolio management function and should expl</w:t>
            </w:r>
            <w:r>
              <w:rPr>
                <w:b/>
                <w:lang w:val="en-GB"/>
              </w:rPr>
              <w:t xml:space="preserve">ain its approach to investors. </w:t>
            </w:r>
            <w:r w:rsidRPr="00B325C2">
              <w:rPr>
                <w:b/>
                <w:lang w:val="en-GB"/>
              </w:rPr>
              <w:t>If a smaller or start-up manager considers it impractical to do so, it should disclose this in its marketing documents</w:t>
            </w:r>
            <w:r>
              <w:rPr>
                <w:b/>
                <w:lang w:val="en-GB"/>
              </w:rPr>
              <w:t xml:space="preserve">. This should also be disclosed </w:t>
            </w:r>
            <w:r w:rsidRPr="00B325C2">
              <w:rPr>
                <w:b/>
                <w:lang w:val="en-GB"/>
              </w:rPr>
              <w:t>in the fund's offering documents.</w:t>
            </w:r>
            <w:r>
              <w:fldChar w:fldCharType="begin"/>
            </w:r>
            <w:r>
              <w:instrText xml:space="preserve"> NOTEREF _Ref298147528 \h  \* MERGEFORMAT </w:instrText>
            </w:r>
            <w:r>
              <w:fldChar w:fldCharType="separate"/>
            </w:r>
            <w:r w:rsidR="001F7CB0" w:rsidRPr="001F7CB0">
              <w:rPr>
                <w:b/>
                <w:vertAlign w:val="superscript"/>
                <w:lang w:val="en-GB"/>
              </w:rPr>
              <w:t>13</w:t>
            </w:r>
            <w:r>
              <w:fldChar w:fldCharType="end"/>
            </w:r>
          </w:p>
          <w:p w14:paraId="4166125E" w14:textId="77777777" w:rsidR="0061206C" w:rsidRDefault="0061206C" w:rsidP="001B14A3">
            <w:pPr>
              <w:pStyle w:val="ListBullet"/>
              <w:numPr>
                <w:ilvl w:val="0"/>
                <w:numId w:val="0"/>
              </w:numPr>
              <w:spacing w:after="120" w:line="240" w:lineRule="auto"/>
              <w:ind w:left="357"/>
              <w:rPr>
                <w:lang w:val="en-GB"/>
              </w:rPr>
            </w:pPr>
            <w:r w:rsidRPr="00B325C2">
              <w:rPr>
                <w:lang w:val="en-GB"/>
              </w:rPr>
              <w:t>It is envisaged that this will, amongst other things, entail:</w:t>
            </w:r>
          </w:p>
          <w:p w14:paraId="03DB7FFC" w14:textId="37AB02DE" w:rsidR="0061206C" w:rsidRDefault="004E11E6" w:rsidP="001B14A3">
            <w:pPr>
              <w:pStyle w:val="ListBullet2"/>
              <w:spacing w:after="120" w:line="240" w:lineRule="auto"/>
              <w:ind w:left="714" w:hanging="357"/>
              <w:rPr>
                <w:lang w:val="en-GB"/>
              </w:rPr>
            </w:pPr>
            <w:r>
              <w:rPr>
                <w:lang w:val="en-GB"/>
              </w:rPr>
              <w:t>E</w:t>
            </w:r>
            <w:r w:rsidR="0061206C" w:rsidRPr="00B325C2">
              <w:rPr>
                <w:lang w:val="en-GB"/>
              </w:rPr>
              <w:t>nsuring that the relevant employees operate independently of the portfolio management team and that potential conflicts of interest are minimised</w:t>
            </w:r>
            <w:r>
              <w:rPr>
                <w:lang w:val="en-GB"/>
              </w:rPr>
              <w:t>,</w:t>
            </w:r>
          </w:p>
          <w:p w14:paraId="16C9A63D" w14:textId="565115E5" w:rsidR="0061206C" w:rsidRDefault="004E11E6" w:rsidP="001B14A3">
            <w:pPr>
              <w:pStyle w:val="ListBullet2"/>
              <w:spacing w:after="120" w:line="240" w:lineRule="auto"/>
              <w:ind w:left="714" w:hanging="357"/>
              <w:rPr>
                <w:lang w:val="en-GB"/>
              </w:rPr>
            </w:pPr>
            <w:r>
              <w:rPr>
                <w:lang w:val="en-GB"/>
              </w:rPr>
              <w:t>E</w:t>
            </w:r>
            <w:r w:rsidR="0061206C" w:rsidRPr="00B325C2">
              <w:rPr>
                <w:lang w:val="en-GB"/>
              </w:rPr>
              <w:t>nsuring that the remuneration of the valuation team is not directly linked to fund performance</w:t>
            </w:r>
            <w:r>
              <w:rPr>
                <w:lang w:val="en-GB"/>
              </w:rPr>
              <w:t>,</w:t>
            </w:r>
          </w:p>
          <w:p w14:paraId="50FB34C5" w14:textId="0A5C2409" w:rsidR="0061206C" w:rsidRDefault="004E11E6" w:rsidP="001B14A3">
            <w:pPr>
              <w:pStyle w:val="ListBullet2"/>
              <w:spacing w:after="120" w:line="240" w:lineRule="auto"/>
              <w:ind w:left="714" w:hanging="357"/>
              <w:rPr>
                <w:lang w:val="en-GB"/>
              </w:rPr>
            </w:pPr>
            <w:r>
              <w:rPr>
                <w:lang w:val="en-GB"/>
              </w:rPr>
              <w:lastRenderedPageBreak/>
              <w:t>I</w:t>
            </w:r>
            <w:r w:rsidR="0061206C" w:rsidRPr="00B325C2">
              <w:rPr>
                <w:lang w:val="en-GB"/>
              </w:rPr>
              <w:t>n instances where the portfolio management team has necessary expertise and understanding, ensure that information provided by that team in connection with the valuation process is properly documented and recorded</w:t>
            </w:r>
            <w:r>
              <w:rPr>
                <w:lang w:val="en-GB"/>
              </w:rPr>
              <w:t>,</w:t>
            </w:r>
            <w:r w:rsidR="0061206C" w:rsidRPr="00B325C2">
              <w:rPr>
                <w:lang w:val="en-GB"/>
              </w:rPr>
              <w:t xml:space="preserve"> and</w:t>
            </w:r>
          </w:p>
          <w:p w14:paraId="502455C3" w14:textId="0B4B41CD" w:rsidR="0061206C" w:rsidRDefault="004E11E6" w:rsidP="001B14A3">
            <w:pPr>
              <w:pStyle w:val="ListBullet2"/>
              <w:spacing w:after="120" w:line="240" w:lineRule="auto"/>
              <w:ind w:left="714" w:hanging="357"/>
              <w:rPr>
                <w:lang w:val="en-GB"/>
              </w:rPr>
            </w:pPr>
            <w:r>
              <w:rPr>
                <w:lang w:val="en-GB"/>
              </w:rPr>
              <w:t>A</w:t>
            </w:r>
            <w:r w:rsidR="0061206C" w:rsidRPr="00B325C2">
              <w:rPr>
                <w:lang w:val="en-GB"/>
              </w:rPr>
              <w:t>ssisting fund governing bodies to satisfy themselves regularly that in-house valuations are handled appropriately.</w:t>
            </w:r>
          </w:p>
          <w:p w14:paraId="1CFAFEC5" w14:textId="612814EF" w:rsidR="0061206C" w:rsidRDefault="0061206C" w:rsidP="004E11E6">
            <w:pPr>
              <w:ind w:left="357"/>
            </w:pPr>
            <w:r w:rsidRPr="00B325C2">
              <w:t>Ways to achieve this might include:</w:t>
            </w:r>
          </w:p>
          <w:p w14:paraId="640C98BE" w14:textId="78C0851A" w:rsidR="0061206C" w:rsidRDefault="00EB281D" w:rsidP="001B14A3">
            <w:pPr>
              <w:pStyle w:val="ListBullet2"/>
              <w:spacing w:after="120"/>
              <w:ind w:left="714" w:hanging="357"/>
              <w:rPr>
                <w:lang w:val="en-GB"/>
              </w:rPr>
            </w:pPr>
            <w:r>
              <w:rPr>
                <w:lang w:val="en-GB"/>
              </w:rPr>
              <w:t>E</w:t>
            </w:r>
            <w:r w:rsidR="0061206C" w:rsidRPr="00B325C2">
              <w:rPr>
                <w:lang w:val="en-GB"/>
              </w:rPr>
              <w:t>nsuring that valuation staff provide periodically a report on the valuation process to the fund governing body</w:t>
            </w:r>
            <w:r>
              <w:rPr>
                <w:lang w:val="en-GB"/>
              </w:rPr>
              <w:t>,</w:t>
            </w:r>
          </w:p>
          <w:p w14:paraId="524C8E4F" w14:textId="05D05D56" w:rsidR="0061206C" w:rsidRDefault="00EB281D" w:rsidP="001B14A3">
            <w:pPr>
              <w:pStyle w:val="ListBullet2"/>
              <w:spacing w:after="120"/>
              <w:ind w:left="714" w:hanging="357"/>
              <w:rPr>
                <w:lang w:val="en-GB"/>
              </w:rPr>
            </w:pPr>
            <w:r>
              <w:rPr>
                <w:lang w:val="en-GB"/>
              </w:rPr>
              <w:t>T</w:t>
            </w:r>
            <w:r w:rsidR="0061206C">
              <w:rPr>
                <w:lang w:val="en-GB"/>
              </w:rPr>
              <w:t xml:space="preserve">he </w:t>
            </w:r>
            <w:r w:rsidR="0061206C" w:rsidRPr="00B325C2">
              <w:rPr>
                <w:lang w:val="en-GB"/>
              </w:rPr>
              <w:t>form</w:t>
            </w:r>
            <w:r w:rsidR="0061206C">
              <w:rPr>
                <w:lang w:val="en-GB"/>
              </w:rPr>
              <w:t>ation of</w:t>
            </w:r>
            <w:r w:rsidR="0061206C" w:rsidRPr="00B325C2">
              <w:rPr>
                <w:lang w:val="en-GB"/>
              </w:rPr>
              <w:t xml:space="preserve"> a designated “valuation committee” (no member of which is involved in investment decisions)</w:t>
            </w:r>
            <w:r>
              <w:rPr>
                <w:lang w:val="en-GB"/>
              </w:rPr>
              <w:t>,</w:t>
            </w:r>
            <w:r w:rsidR="0061206C">
              <w:fldChar w:fldCharType="begin"/>
            </w:r>
            <w:r w:rsidR="0061206C">
              <w:instrText xml:space="preserve"> NOTEREF _Ref300044206 \h  \* MERGEFORMAT </w:instrText>
            </w:r>
            <w:r w:rsidR="0061206C">
              <w:fldChar w:fldCharType="separate"/>
            </w:r>
            <w:r w:rsidR="001F7CB0" w:rsidRPr="001F7CB0">
              <w:rPr>
                <w:vertAlign w:val="superscript"/>
                <w:lang w:val="en-GB"/>
              </w:rPr>
              <w:t>18</w:t>
            </w:r>
            <w:r w:rsidR="0061206C">
              <w:fldChar w:fldCharType="end"/>
            </w:r>
            <w:r w:rsidR="0061206C" w:rsidRPr="00B325C2">
              <w:rPr>
                <w:lang w:val="en-GB"/>
              </w:rPr>
              <w:t xml:space="preserve"> and</w:t>
            </w:r>
          </w:p>
          <w:p w14:paraId="5DFC4C02" w14:textId="1CC0C310" w:rsidR="0061206C" w:rsidRDefault="00EB281D" w:rsidP="001B14A3">
            <w:pPr>
              <w:pStyle w:val="ListBullet2"/>
              <w:spacing w:after="120"/>
              <w:ind w:left="714" w:hanging="357"/>
              <w:rPr>
                <w:lang w:val="en-GB"/>
              </w:rPr>
            </w:pPr>
            <w:r>
              <w:rPr>
                <w:lang w:val="en-GB"/>
              </w:rPr>
              <w:t>E</w:t>
            </w:r>
            <w:r w:rsidR="0061206C" w:rsidRPr="00B325C2">
              <w:rPr>
                <w:lang w:val="en-GB"/>
              </w:rPr>
              <w:t>mploying the services of an appropriate external party to evaluate the effectiveness and robustness of the valuation procedures in place and report to the fund governing body (or its valuation committee).</w:t>
            </w:r>
          </w:p>
          <w:p w14:paraId="32FCC45D" w14:textId="77777777" w:rsidR="0061206C" w:rsidRPr="00B325C2" w:rsidRDefault="0061206C" w:rsidP="001B14A3">
            <w:pPr>
              <w:pStyle w:val="ListBullet"/>
              <w:numPr>
                <w:ilvl w:val="0"/>
                <w:numId w:val="0"/>
              </w:numPr>
              <w:rPr>
                <w:i/>
                <w:lang w:val="en-GB"/>
              </w:rPr>
            </w:pPr>
            <w:r w:rsidRPr="004519D8">
              <w:rPr>
                <w:i/>
                <w:lang w:val="en-GB"/>
              </w:rPr>
              <w:t>Fund managers also could refer to The SBAI Toolbox Memos on Valuation for Alternative Credit</w:t>
            </w:r>
            <w:r w:rsidRPr="004519D8">
              <w:rPr>
                <w:rStyle w:val="FootnoteReference"/>
                <w:i/>
                <w:lang w:val="en-GB"/>
              </w:rPr>
              <w:footnoteReference w:id="14"/>
            </w:r>
            <w:r w:rsidRPr="004519D8">
              <w:rPr>
                <w:i/>
                <w:lang w:val="en-GB"/>
              </w:rPr>
              <w:t xml:space="preserve"> and Insurance Linked Strategies</w:t>
            </w:r>
            <w:r w:rsidRPr="004519D8">
              <w:rPr>
                <w:rStyle w:val="FootnoteReference"/>
                <w:i/>
                <w:lang w:val="en-GB"/>
              </w:rPr>
              <w:footnoteReference w:id="15"/>
            </w:r>
            <w:r w:rsidRPr="004519D8">
              <w:rPr>
                <w:i/>
                <w:lang w:val="en-GB"/>
              </w:rPr>
              <w:t>, as well as publications by standard setters and regulators, including IOSCO’s Principles for the Valuation of Collective Investment Schemes (2013)</w:t>
            </w:r>
            <w:r w:rsidRPr="004519D8">
              <w:rPr>
                <w:rStyle w:val="FootnoteReference"/>
                <w:i/>
                <w:lang w:val="en-GB"/>
              </w:rPr>
              <w:footnoteReference w:id="16"/>
            </w:r>
            <w:r w:rsidRPr="004519D8">
              <w:rPr>
                <w:i/>
                <w:lang w:val="en-GB"/>
              </w:rPr>
              <w:t xml:space="preserve"> and IOSCO’s Principles for the Valuation of Hedge Funds (2007)</w:t>
            </w:r>
            <w:r w:rsidRPr="004519D8">
              <w:rPr>
                <w:rStyle w:val="FootnoteReference"/>
                <w:i/>
                <w:lang w:val="en-GB"/>
              </w:rPr>
              <w:footnoteReference w:id="17"/>
            </w:r>
            <w:r w:rsidRPr="004519D8">
              <w:rPr>
                <w:i/>
                <w:lang w:val="en-GB"/>
              </w:rPr>
              <w:t>for further guidance in this area.</w:t>
            </w:r>
          </w:p>
        </w:tc>
      </w:tr>
    </w:tbl>
    <w:p w14:paraId="0D2650CE" w14:textId="77777777" w:rsidR="00602141" w:rsidRDefault="00602141" w:rsidP="00602141">
      <w:pPr>
        <w:pStyle w:val="NoSpacing"/>
      </w:pPr>
      <w:bookmarkStart w:id="8" w:name="_Toc181508660"/>
      <w:bookmarkStart w:id="9" w:name="_Toc185306144"/>
    </w:p>
    <w:p w14:paraId="4FB74B19" w14:textId="1FD0179B" w:rsidR="0061206C" w:rsidRDefault="0061206C" w:rsidP="0061206C">
      <w:pPr>
        <w:pStyle w:val="Heading3"/>
      </w:pPr>
      <w:r w:rsidRPr="00B325C2">
        <w:t xml:space="preserve">Segregation of </w:t>
      </w:r>
      <w:r>
        <w:t>F</w:t>
      </w:r>
      <w:r w:rsidRPr="00B325C2">
        <w:t xml:space="preserve">unctions in </w:t>
      </w:r>
      <w:r>
        <w:t>V</w:t>
      </w:r>
      <w:r w:rsidRPr="00B325C2">
        <w:t>aluation – Disclosure</w:t>
      </w:r>
      <w:bookmarkEnd w:id="8"/>
      <w:bookmarkEnd w:id="9"/>
      <w:r w:rsidRPr="00B325C2">
        <w:t xml:space="preserve"> Standards and Guidance [6]</w:t>
      </w:r>
    </w:p>
    <w:p w14:paraId="45C8D54C" w14:textId="77777777" w:rsidR="0061206C" w:rsidRPr="00BA2EBC" w:rsidRDefault="0061206C" w:rsidP="0061206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61206C" w:rsidRPr="00B325C2" w14:paraId="5E7AEE45" w14:textId="77777777" w:rsidTr="001B14A3">
        <w:trPr>
          <w:trHeight w:val="416"/>
        </w:trPr>
        <w:tc>
          <w:tcPr>
            <w:tcW w:w="9464" w:type="dxa"/>
            <w:shd w:val="clear" w:color="auto" w:fill="F7F9FB" w:themeFill="accent1" w:themeFillTint="33"/>
          </w:tcPr>
          <w:p w14:paraId="44ABAEEF" w14:textId="5EB89E47" w:rsidR="0061206C" w:rsidRDefault="0061206C" w:rsidP="001B14A3">
            <w:pPr>
              <w:pStyle w:val="ListBullet"/>
              <w:numPr>
                <w:ilvl w:val="0"/>
                <w:numId w:val="0"/>
              </w:numPr>
              <w:ind w:left="360" w:hanging="360"/>
              <w:rPr>
                <w:b/>
                <w:lang w:val="en-GB"/>
              </w:rPr>
            </w:pPr>
            <w:r>
              <w:rPr>
                <w:b/>
                <w:lang w:val="en-GB"/>
              </w:rPr>
              <w:t>6.1</w:t>
            </w:r>
            <w:r w:rsidR="00602141">
              <w:rPr>
                <w:b/>
                <w:lang w:val="en-GB"/>
              </w:rPr>
              <w:t xml:space="preserve">. </w:t>
            </w:r>
            <w:r>
              <w:rPr>
                <w:b/>
                <w:lang w:val="en-GB"/>
              </w:rPr>
              <w:t xml:space="preserve">A </w:t>
            </w:r>
            <w:r w:rsidRPr="00B325C2">
              <w:rPr>
                <w:b/>
                <w:lang w:val="en-GB"/>
              </w:rPr>
              <w:t>document (a “Valuation Policy Document”) covering all material aspects of the valuation process and valuation procedures and controls in respect of the fund</w:t>
            </w:r>
            <w:r>
              <w:rPr>
                <w:b/>
                <w:lang w:val="en-GB"/>
              </w:rPr>
              <w:t xml:space="preserve"> should be prepared</w:t>
            </w:r>
            <w:r w:rsidRPr="00B325C2">
              <w:rPr>
                <w:b/>
                <w:lang w:val="en-GB"/>
              </w:rPr>
              <w:t>.</w:t>
            </w:r>
            <w:bookmarkStart w:id="10" w:name="_Ref300044206"/>
            <w:r>
              <w:rPr>
                <w:rStyle w:val="FootnoteReference"/>
                <w:b/>
                <w:lang w:val="en-GB"/>
              </w:rPr>
              <w:footnoteReference w:id="18"/>
            </w:r>
            <w:bookmarkEnd w:id="10"/>
            <w:r w:rsidRPr="00B325C2">
              <w:rPr>
                <w:b/>
                <w:lang w:val="en-GB"/>
              </w:rPr>
              <w:t xml:space="preserve"> The Valuation Policy Document (which it is acknowledged will contain information which is proprietary to the </w:t>
            </w:r>
            <w:r>
              <w:rPr>
                <w:b/>
                <w:lang w:val="en-GB"/>
              </w:rPr>
              <w:t>fund manager</w:t>
            </w:r>
            <w:r w:rsidRPr="00B325C2">
              <w:rPr>
                <w:b/>
                <w:lang w:val="en-GB"/>
              </w:rPr>
              <w:t xml:space="preserve">) should be reviewed regularly by the </w:t>
            </w:r>
            <w:r>
              <w:rPr>
                <w:b/>
                <w:lang w:val="en-GB"/>
              </w:rPr>
              <w:t>fund manager</w:t>
            </w:r>
            <w:r w:rsidRPr="00B325C2">
              <w:rPr>
                <w:b/>
                <w:lang w:val="en-GB"/>
              </w:rPr>
              <w:t xml:space="preserve">, in consultation with the fund governing body, and be made available to investors upon request on a confidential basis. </w:t>
            </w:r>
          </w:p>
          <w:p w14:paraId="0962D700" w14:textId="77777777" w:rsidR="0061206C" w:rsidRPr="00B325C2" w:rsidRDefault="0061206C" w:rsidP="001B14A3">
            <w:pPr>
              <w:spacing w:after="120" w:line="240" w:lineRule="auto"/>
              <w:ind w:left="360"/>
            </w:pPr>
            <w:r w:rsidRPr="00B325C2">
              <w:t xml:space="preserve">The </w:t>
            </w:r>
            <w:r>
              <w:t>SBAI</w:t>
            </w:r>
            <w:r w:rsidRPr="00B325C2">
              <w:t xml:space="preserve"> envisages that in most circumstances the Valuation Policy Document will describe:</w:t>
            </w:r>
          </w:p>
          <w:p w14:paraId="2FDEDC1D" w14:textId="4F828DD3" w:rsidR="0061206C" w:rsidRPr="00B325C2" w:rsidRDefault="00602141" w:rsidP="001B14A3">
            <w:pPr>
              <w:pStyle w:val="ListBullet2"/>
              <w:spacing w:after="120" w:line="240" w:lineRule="auto"/>
              <w:rPr>
                <w:lang w:val="en-GB"/>
              </w:rPr>
            </w:pPr>
            <w:r>
              <w:rPr>
                <w:lang w:val="en-GB"/>
              </w:rPr>
              <w:t>T</w:t>
            </w:r>
            <w:r w:rsidR="0061206C" w:rsidRPr="00B325C2">
              <w:rPr>
                <w:lang w:val="en-GB"/>
              </w:rPr>
              <w:t>he responsibilities of each of the parties involved in the valuation process</w:t>
            </w:r>
            <w:r>
              <w:rPr>
                <w:lang w:val="en-GB"/>
              </w:rPr>
              <w:t>,</w:t>
            </w:r>
          </w:p>
          <w:p w14:paraId="13AF1875" w14:textId="7B431BD0" w:rsidR="0061206C" w:rsidRPr="00B325C2" w:rsidRDefault="00602141" w:rsidP="001B14A3">
            <w:pPr>
              <w:pStyle w:val="ListBullet2"/>
              <w:spacing w:after="120" w:line="240" w:lineRule="auto"/>
              <w:rPr>
                <w:lang w:val="en-GB"/>
              </w:rPr>
            </w:pPr>
            <w:r>
              <w:rPr>
                <w:lang w:val="en-GB"/>
              </w:rPr>
              <w:t>T</w:t>
            </w:r>
            <w:r w:rsidR="0061206C" w:rsidRPr="00B325C2">
              <w:rPr>
                <w:lang w:val="en-GB"/>
              </w:rPr>
              <w:t xml:space="preserve">he processes and procedures in place that are designed to ensure </w:t>
            </w:r>
            <w:r w:rsidR="0061206C">
              <w:rPr>
                <w:lang w:val="en-GB"/>
              </w:rPr>
              <w:t xml:space="preserve">that </w:t>
            </w:r>
            <w:r w:rsidR="0061206C" w:rsidRPr="00B325C2">
              <w:rPr>
                <w:lang w:val="en-GB"/>
              </w:rPr>
              <w:t>conflicts of interest are managed effectively</w:t>
            </w:r>
            <w:r>
              <w:rPr>
                <w:lang w:val="en-GB"/>
              </w:rPr>
              <w:t>,</w:t>
            </w:r>
          </w:p>
          <w:p w14:paraId="3F4A04C4" w14:textId="57266449" w:rsidR="0061206C" w:rsidRPr="00B325C2" w:rsidRDefault="00602141" w:rsidP="001B14A3">
            <w:pPr>
              <w:pStyle w:val="ListBullet2"/>
              <w:spacing w:after="120" w:line="240" w:lineRule="auto"/>
              <w:rPr>
                <w:lang w:val="en-GB"/>
              </w:rPr>
            </w:pPr>
            <w:r>
              <w:rPr>
                <w:lang w:val="en-GB"/>
              </w:rPr>
              <w:t>T</w:t>
            </w:r>
            <w:r w:rsidR="0061206C" w:rsidRPr="00B325C2">
              <w:rPr>
                <w:lang w:val="en-GB"/>
              </w:rPr>
              <w:t xml:space="preserve">he relevant material provisions of any service level agreements (SLAs) </w:t>
            </w:r>
            <w:proofErr w:type="gramStart"/>
            <w:r w:rsidR="0061206C" w:rsidRPr="00B325C2">
              <w:rPr>
                <w:lang w:val="en-GB"/>
              </w:rPr>
              <w:t>entered into</w:t>
            </w:r>
            <w:proofErr w:type="gramEnd"/>
            <w:r w:rsidR="0061206C" w:rsidRPr="00B325C2">
              <w:rPr>
                <w:lang w:val="en-GB"/>
              </w:rPr>
              <w:t xml:space="preserve"> with third parties responsible for or involved in the valuation process (excluding details of commercial aspects of any such SLAs)</w:t>
            </w:r>
            <w:r>
              <w:rPr>
                <w:lang w:val="en-GB"/>
              </w:rPr>
              <w:t>,</w:t>
            </w:r>
            <w:r w:rsidR="0061206C" w:rsidRPr="00B325C2">
              <w:rPr>
                <w:lang w:val="en-GB"/>
              </w:rPr>
              <w:t xml:space="preserve"> and</w:t>
            </w:r>
          </w:p>
          <w:p w14:paraId="15A598E4" w14:textId="5DF826F8" w:rsidR="0061206C" w:rsidRPr="00EE6A05" w:rsidRDefault="00602141" w:rsidP="001B14A3">
            <w:pPr>
              <w:pStyle w:val="ListBullet2"/>
              <w:spacing w:after="120" w:line="240" w:lineRule="auto"/>
              <w:rPr>
                <w:lang w:val="en-GB"/>
              </w:rPr>
            </w:pPr>
            <w:r>
              <w:rPr>
                <w:lang w:val="en-GB"/>
              </w:rPr>
              <w:lastRenderedPageBreak/>
              <w:t>T</w:t>
            </w:r>
            <w:r w:rsidR="0061206C" w:rsidRPr="00B325C2">
              <w:rPr>
                <w:lang w:val="en-GB"/>
              </w:rPr>
              <w:t>he controls and monitoring processes in place that are designed to ensure that the performance of any third party to whom the valuation function is outsourced is satisfactory.</w:t>
            </w:r>
          </w:p>
          <w:p w14:paraId="0CE71376" w14:textId="1A366B48" w:rsidR="0061206C" w:rsidRDefault="0061206C" w:rsidP="001B14A3">
            <w:pPr>
              <w:pStyle w:val="ListBullet"/>
              <w:numPr>
                <w:ilvl w:val="0"/>
                <w:numId w:val="0"/>
              </w:numPr>
              <w:ind w:left="360" w:hanging="360"/>
              <w:rPr>
                <w:b/>
                <w:lang w:val="en-GB"/>
              </w:rPr>
            </w:pPr>
            <w:r>
              <w:rPr>
                <w:b/>
                <w:lang w:val="en-GB"/>
              </w:rPr>
              <w:t>6.2</w:t>
            </w:r>
            <w:r w:rsidR="00602141">
              <w:rPr>
                <w:b/>
                <w:lang w:val="en-GB"/>
              </w:rPr>
              <w:t xml:space="preserve">. </w:t>
            </w:r>
            <w:r w:rsidRPr="00B325C2">
              <w:rPr>
                <w:b/>
                <w:lang w:val="en-GB"/>
              </w:rPr>
              <w:t xml:space="preserve">Where </w:t>
            </w:r>
            <w:r>
              <w:rPr>
                <w:b/>
                <w:lang w:val="en-GB"/>
              </w:rPr>
              <w:t>a fund manager</w:t>
            </w:r>
            <w:r w:rsidRPr="00B325C2">
              <w:rPr>
                <w:b/>
                <w:lang w:val="en-GB"/>
              </w:rPr>
              <w:t xml:space="preserve"> is involved in th</w:t>
            </w:r>
            <w:r>
              <w:rPr>
                <w:b/>
                <w:lang w:val="en-GB"/>
              </w:rPr>
              <w:t xml:space="preserve">e valuation process, it should </w:t>
            </w:r>
            <w:r w:rsidRPr="00B325C2">
              <w:rPr>
                <w:b/>
                <w:lang w:val="en-GB"/>
              </w:rPr>
              <w:t xml:space="preserve">disclose in its own marketing materials any actual or likely material involvement of the portfolio management team in the valuation process. </w:t>
            </w:r>
            <w:r>
              <w:rPr>
                <w:b/>
                <w:lang w:val="en-GB"/>
              </w:rPr>
              <w:t>Such disclosure should also be included in the fund’s offering documents.</w:t>
            </w:r>
            <w:r>
              <w:rPr>
                <w:rStyle w:val="FootnoteReference"/>
                <w:b/>
                <w:lang w:val="en-GB"/>
              </w:rPr>
              <w:footnoteReference w:id="19"/>
            </w:r>
            <w:r>
              <w:rPr>
                <w:b/>
                <w:lang w:val="en-GB"/>
              </w:rPr>
              <w:t xml:space="preserve"> </w:t>
            </w:r>
            <w:r w:rsidRPr="00B325C2">
              <w:rPr>
                <w:b/>
                <w:lang w:val="en-GB"/>
              </w:rPr>
              <w:t xml:space="preserve">Investors should then be informed, for example via manager newsletters, of any material changes to such level of involvement. </w:t>
            </w:r>
          </w:p>
          <w:p w14:paraId="17E244ED" w14:textId="77777777" w:rsidR="0061206C" w:rsidRPr="00B325C2" w:rsidRDefault="0061206C" w:rsidP="001B14A3">
            <w:pPr>
              <w:pStyle w:val="ListBullet"/>
              <w:numPr>
                <w:ilvl w:val="0"/>
                <w:numId w:val="0"/>
              </w:numPr>
              <w:ind w:left="360"/>
              <w:rPr>
                <w:lang w:val="en-GB"/>
              </w:rPr>
            </w:pPr>
            <w:r w:rsidRPr="00B325C2">
              <w:rPr>
                <w:lang w:val="en-GB"/>
              </w:rPr>
              <w:t xml:space="preserve">This could be satisfied by disclosing an estimate of the percentage of the fund’s assets which have been, or are expected to be, valued with some input from the portfolio management team or a description of components of the portfolio for which the portfolio management team usually </w:t>
            </w:r>
            <w:proofErr w:type="gramStart"/>
            <w:r w:rsidRPr="00B325C2">
              <w:rPr>
                <w:lang w:val="en-GB"/>
              </w:rPr>
              <w:t>makes a contribution</w:t>
            </w:r>
            <w:proofErr w:type="gramEnd"/>
            <w:r w:rsidRPr="00B325C2">
              <w:rPr>
                <w:lang w:val="en-GB"/>
              </w:rPr>
              <w:t xml:space="preserve"> to the valuation process.</w:t>
            </w:r>
          </w:p>
        </w:tc>
      </w:tr>
    </w:tbl>
    <w:p w14:paraId="2D13B36C" w14:textId="0D7D2C1F" w:rsidR="0061206C" w:rsidRDefault="0061206C" w:rsidP="00602141">
      <w:pPr>
        <w:pStyle w:val="Heading2"/>
      </w:pPr>
      <w:r w:rsidRPr="00B325C2">
        <w:lastRenderedPageBreak/>
        <w:t>Hard-to-</w:t>
      </w:r>
      <w:r>
        <w:t>V</w:t>
      </w:r>
      <w:r w:rsidRPr="00B325C2">
        <w:t xml:space="preserve">alue </w:t>
      </w:r>
      <w:r>
        <w:t>A</w:t>
      </w:r>
      <w:r w:rsidRPr="00B325C2">
        <w:t>ssets – Governance [7]</w:t>
      </w:r>
      <w:r w:rsidR="00741426">
        <w:t xml:space="preserve"> </w:t>
      </w:r>
      <w:r w:rsidRPr="00B325C2">
        <w:t>+</w:t>
      </w:r>
      <w:r w:rsidR="00741426">
        <w:t xml:space="preserve"> </w:t>
      </w:r>
      <w:r w:rsidRPr="00B325C2">
        <w:t>[8]</w:t>
      </w:r>
    </w:p>
    <w:p w14:paraId="0639816C" w14:textId="77777777" w:rsidR="00602141" w:rsidRDefault="00602141" w:rsidP="00602141">
      <w:pPr>
        <w:pStyle w:val="NoSpacing"/>
      </w:pPr>
      <w:bookmarkStart w:id="11" w:name="_Toc181508662"/>
      <w:bookmarkStart w:id="12" w:name="_Toc185306146"/>
    </w:p>
    <w:p w14:paraId="67D6EE5B" w14:textId="34BE5E6E" w:rsidR="0061206C" w:rsidRDefault="0061206C" w:rsidP="0061206C">
      <w:pPr>
        <w:pStyle w:val="Heading3"/>
      </w:pPr>
      <w:r w:rsidRPr="00B325C2">
        <w:t>Hard-to-</w:t>
      </w:r>
      <w:r>
        <w:t>V</w:t>
      </w:r>
      <w:r w:rsidRPr="00B325C2">
        <w:t xml:space="preserve">alue </w:t>
      </w:r>
      <w:r>
        <w:t>A</w:t>
      </w:r>
      <w:r w:rsidRPr="00B325C2">
        <w:t>ssets</w:t>
      </w:r>
      <w:bookmarkEnd w:id="11"/>
      <w:bookmarkEnd w:id="12"/>
      <w:r w:rsidRPr="00B325C2">
        <w:t xml:space="preserve"> – Governance Standards and Guidance [7]</w:t>
      </w:r>
    </w:p>
    <w:p w14:paraId="3B82F4C5" w14:textId="77777777" w:rsidR="0061206C" w:rsidRPr="007F5F4A" w:rsidRDefault="0061206C" w:rsidP="0061206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61206C" w:rsidRPr="00B325C2" w14:paraId="4E95E0A6" w14:textId="77777777" w:rsidTr="001B14A3">
        <w:trPr>
          <w:trHeight w:val="392"/>
        </w:trPr>
        <w:tc>
          <w:tcPr>
            <w:tcW w:w="9464" w:type="dxa"/>
            <w:shd w:val="clear" w:color="auto" w:fill="F7F9FB" w:themeFill="accent1" w:themeFillTint="33"/>
          </w:tcPr>
          <w:p w14:paraId="29F50FFF" w14:textId="5FBB8B97" w:rsidR="0061206C" w:rsidRDefault="0061206C" w:rsidP="001B14A3">
            <w:pPr>
              <w:pStyle w:val="ListBullet"/>
              <w:numPr>
                <w:ilvl w:val="0"/>
                <w:numId w:val="0"/>
              </w:numPr>
              <w:ind w:left="360" w:hanging="360"/>
              <w:rPr>
                <w:b/>
                <w:lang w:val="en-GB"/>
              </w:rPr>
            </w:pPr>
            <w:r>
              <w:rPr>
                <w:b/>
                <w:noProof/>
                <w:lang w:val="en-GB" w:eastAsia="en-GB" w:bidi="ar-SA"/>
              </w:rPr>
              <mc:AlternateContent>
                <mc:Choice Requires="wps">
                  <w:drawing>
                    <wp:anchor distT="0" distB="0" distL="114300" distR="114300" simplePos="0" relativeHeight="251663360" behindDoc="1" locked="0" layoutInCell="0" allowOverlap="1" wp14:anchorId="10F4845E" wp14:editId="0F86D0BC">
                      <wp:simplePos x="0" y="0"/>
                      <wp:positionH relativeFrom="page">
                        <wp:posOffset>4547235</wp:posOffset>
                      </wp:positionH>
                      <wp:positionV relativeFrom="paragraph">
                        <wp:posOffset>1510030</wp:posOffset>
                      </wp:positionV>
                      <wp:extent cx="0" cy="0"/>
                      <wp:effectExtent l="13335" t="13335" r="5715" b="5715"/>
                      <wp:wrapNone/>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155363" id="Freeform 2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8.05pt,118.9pt,358.05pt,118.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" o:allowincell="f" filled="f" strokecolor="#000750" strokeweight=".5pt">
                      <v:path arrowok="t" o:connecttype="custom" o:connectlocs="0,0;0,0" o:connectangles="0,0"/>
                      <w10:wrap anchorx="page"/>
                    </v:polyline>
                  </w:pict>
                </mc:Fallback>
              </mc:AlternateContent>
            </w:r>
            <w:r>
              <w:rPr>
                <w:b/>
                <w:lang w:val="en-GB"/>
              </w:rPr>
              <w:t>7.1</w:t>
            </w:r>
            <w:r w:rsidR="00602141">
              <w:rPr>
                <w:b/>
                <w:lang w:val="en-GB"/>
              </w:rPr>
              <w:t xml:space="preserve">. </w:t>
            </w:r>
            <w:r w:rsidRPr="00B325C2">
              <w:rPr>
                <w:b/>
                <w:lang w:val="en-GB"/>
              </w:rPr>
              <w:t xml:space="preserve">Where </w:t>
            </w:r>
            <w:r>
              <w:rPr>
                <w:b/>
                <w:lang w:val="en-GB"/>
              </w:rPr>
              <w:t>a fund manager</w:t>
            </w:r>
            <w:r w:rsidRPr="00B325C2">
              <w:rPr>
                <w:b/>
                <w:lang w:val="en-GB"/>
              </w:rPr>
              <w:t xml:space="preserve"> performs </w:t>
            </w:r>
            <w:r>
              <w:rPr>
                <w:b/>
                <w:lang w:val="en-GB"/>
              </w:rPr>
              <w:t xml:space="preserve">in-house </w:t>
            </w:r>
            <w:r w:rsidRPr="00B325C2">
              <w:rPr>
                <w:b/>
                <w:lang w:val="en-GB"/>
              </w:rPr>
              <w:t xml:space="preserve">valuations of hard-to-value assets or is otherwise involved in providing final prices to the valuation service provider, valuation procedures for such assets which are aimed at ensuring a consistent approach to determining fair value </w:t>
            </w:r>
            <w:r>
              <w:rPr>
                <w:b/>
                <w:lang w:val="en-GB"/>
              </w:rPr>
              <w:t xml:space="preserve">should be adopted </w:t>
            </w:r>
            <w:r w:rsidRPr="00B325C2">
              <w:rPr>
                <w:b/>
                <w:lang w:val="en-GB"/>
              </w:rPr>
              <w:t xml:space="preserve">and such procedures </w:t>
            </w:r>
            <w:r>
              <w:rPr>
                <w:b/>
                <w:lang w:val="en-GB"/>
              </w:rPr>
              <w:t xml:space="preserve">should be </w:t>
            </w:r>
            <w:r w:rsidRPr="00B325C2">
              <w:rPr>
                <w:b/>
                <w:lang w:val="en-GB"/>
              </w:rPr>
              <w:t>set out in the Valuation Policy Document.</w:t>
            </w:r>
            <w:r>
              <w:rPr>
                <w:rStyle w:val="FootnoteReference"/>
                <w:b/>
                <w:lang w:val="en-GB"/>
              </w:rPr>
              <w:footnoteReference w:id="20"/>
            </w:r>
          </w:p>
          <w:p w14:paraId="397368BA" w14:textId="77777777" w:rsidR="0061206C" w:rsidRPr="00B325C2" w:rsidRDefault="0061206C" w:rsidP="001B14A3">
            <w:pPr>
              <w:pStyle w:val="ListBullet2"/>
              <w:numPr>
                <w:ilvl w:val="0"/>
                <w:numId w:val="0"/>
              </w:numPr>
              <w:ind w:left="360"/>
              <w:rPr>
                <w:lang w:val="en-GB"/>
              </w:rPr>
            </w:pPr>
            <w:r w:rsidRPr="00B325C2">
              <w:rPr>
                <w:lang w:val="en-GB"/>
              </w:rPr>
              <w:t xml:space="preserve">The </w:t>
            </w:r>
            <w:r>
              <w:rPr>
                <w:lang w:val="en-GB"/>
              </w:rPr>
              <w:t>SBAI</w:t>
            </w:r>
            <w:r w:rsidRPr="00B325C2">
              <w:rPr>
                <w:lang w:val="en-GB"/>
              </w:rPr>
              <w:t xml:space="preserve"> envisages that such procedures would in most circumstances include:</w:t>
            </w:r>
          </w:p>
          <w:p w14:paraId="1B857F2A" w14:textId="70C03920" w:rsidR="0061206C" w:rsidRDefault="00602141" w:rsidP="001B14A3">
            <w:pPr>
              <w:pStyle w:val="ListBullet2"/>
              <w:spacing w:before="120" w:after="0"/>
              <w:rPr>
                <w:lang w:val="en-GB"/>
              </w:rPr>
            </w:pPr>
            <w:r>
              <w:rPr>
                <w:lang w:val="en-GB"/>
              </w:rPr>
              <w:t>D</w:t>
            </w:r>
            <w:r w:rsidR="0061206C" w:rsidRPr="00B325C2">
              <w:rPr>
                <w:lang w:val="en-GB"/>
              </w:rPr>
              <w:t>etails of a hierarchy of pricing sources and models to be used for each asset type in a fund’s portfolio (where relevant)</w:t>
            </w:r>
            <w:r>
              <w:rPr>
                <w:lang w:val="en-GB"/>
              </w:rPr>
              <w:t>,</w:t>
            </w:r>
          </w:p>
          <w:p w14:paraId="6B6C2EB2" w14:textId="0B572752" w:rsidR="0061206C" w:rsidRDefault="00602141" w:rsidP="001B14A3">
            <w:pPr>
              <w:pStyle w:val="ListBullet2"/>
              <w:spacing w:before="120" w:after="0"/>
              <w:ind w:left="714" w:hanging="357"/>
              <w:rPr>
                <w:lang w:val="en-GB"/>
              </w:rPr>
            </w:pPr>
            <w:r>
              <w:rPr>
                <w:lang w:val="en-GB"/>
              </w:rPr>
              <w:t>I</w:t>
            </w:r>
            <w:r w:rsidR="0061206C" w:rsidRPr="00B325C2">
              <w:rPr>
                <w:lang w:val="en-GB"/>
              </w:rPr>
              <w:t>f using broker quotes:</w:t>
            </w:r>
          </w:p>
          <w:p w14:paraId="30484499" w14:textId="47101015" w:rsidR="0061206C" w:rsidRDefault="00003E7C" w:rsidP="001B14A3">
            <w:pPr>
              <w:pStyle w:val="ListBullet3"/>
              <w:spacing w:before="120" w:after="0"/>
              <w:ind w:left="1077" w:hanging="357"/>
              <w:rPr>
                <w:lang w:val="en-GB"/>
              </w:rPr>
            </w:pPr>
            <w:r>
              <w:rPr>
                <w:lang w:val="en-GB"/>
              </w:rPr>
              <w:t>M</w:t>
            </w:r>
            <w:r w:rsidR="0061206C" w:rsidRPr="00B325C2">
              <w:rPr>
                <w:lang w:val="en-GB"/>
              </w:rPr>
              <w:t>aking reasonable efforts to identify and draw upon multiple (typically 2-3) price sources (where available)</w:t>
            </w:r>
            <w:r>
              <w:rPr>
                <w:lang w:val="en-GB"/>
              </w:rPr>
              <w:t>,</w:t>
            </w:r>
          </w:p>
          <w:p w14:paraId="5F7C64A4" w14:textId="0993E956" w:rsidR="0061206C" w:rsidRDefault="00003E7C" w:rsidP="001B14A3">
            <w:pPr>
              <w:pStyle w:val="ListBullet3"/>
              <w:spacing w:before="120" w:after="0"/>
              <w:ind w:left="1077" w:hanging="357"/>
              <w:rPr>
                <w:lang w:val="en-GB"/>
              </w:rPr>
            </w:pPr>
            <w:r>
              <w:rPr>
                <w:lang w:val="en-GB"/>
              </w:rPr>
              <w:t>S</w:t>
            </w:r>
            <w:r w:rsidR="0061206C" w:rsidRPr="00B325C2">
              <w:rPr>
                <w:lang w:val="en-GB"/>
              </w:rPr>
              <w:t>pecifying the acceptable tolerance ranges when multiple pricing sources are used and the approach to handling “outliers”</w:t>
            </w:r>
            <w:r>
              <w:rPr>
                <w:lang w:val="en-GB"/>
              </w:rPr>
              <w:t>,</w:t>
            </w:r>
          </w:p>
          <w:p w14:paraId="422DD739" w14:textId="30F9372C" w:rsidR="0061206C" w:rsidRDefault="00003E7C" w:rsidP="001B14A3">
            <w:pPr>
              <w:pStyle w:val="ListBullet3"/>
              <w:spacing w:before="120" w:after="0"/>
              <w:ind w:left="1077" w:hanging="357"/>
              <w:rPr>
                <w:lang w:val="en-GB"/>
              </w:rPr>
            </w:pPr>
            <w:r>
              <w:rPr>
                <w:lang w:val="en-GB"/>
              </w:rPr>
              <w:t>E</w:t>
            </w:r>
            <w:r w:rsidR="0061206C" w:rsidRPr="00B325C2">
              <w:rPr>
                <w:lang w:val="en-GB"/>
              </w:rPr>
              <w:t>nsuring consistency and avoiding “cherry picking” of favourable price sources by using the same brokers at each valuation point</w:t>
            </w:r>
            <w:r>
              <w:rPr>
                <w:lang w:val="en-GB"/>
              </w:rPr>
              <w:t>,</w:t>
            </w:r>
            <w:r w:rsidR="0061206C" w:rsidRPr="00B325C2">
              <w:rPr>
                <w:lang w:val="en-GB"/>
              </w:rPr>
              <w:t xml:space="preserve"> and</w:t>
            </w:r>
          </w:p>
          <w:p w14:paraId="73A671E8" w14:textId="1CE0CBB1" w:rsidR="0061206C" w:rsidRDefault="00003E7C" w:rsidP="001B14A3">
            <w:pPr>
              <w:pStyle w:val="ListBullet3"/>
              <w:spacing w:before="120" w:after="0"/>
              <w:ind w:left="1077" w:hanging="357"/>
              <w:rPr>
                <w:lang w:val="en-GB"/>
              </w:rPr>
            </w:pPr>
            <w:r>
              <w:rPr>
                <w:lang w:val="en-GB"/>
              </w:rPr>
              <w:t>W</w:t>
            </w:r>
            <w:r w:rsidR="0061206C" w:rsidRPr="00B325C2">
              <w:rPr>
                <w:lang w:val="en-GB"/>
              </w:rPr>
              <w:t xml:space="preserve">here the </w:t>
            </w:r>
            <w:r w:rsidR="0061206C">
              <w:rPr>
                <w:lang w:val="en-GB"/>
              </w:rPr>
              <w:t>fund manager</w:t>
            </w:r>
            <w:r w:rsidR="0061206C" w:rsidRPr="00B325C2">
              <w:rPr>
                <w:lang w:val="en-GB"/>
              </w:rPr>
              <w:t xml:space="preserve"> arranges the provision of broker prices (as opposed to the administrator or other third-party valuation service provider), the </w:t>
            </w:r>
            <w:r w:rsidR="0061206C">
              <w:rPr>
                <w:lang w:val="en-GB"/>
              </w:rPr>
              <w:t>fund manager</w:t>
            </w:r>
            <w:r w:rsidR="0061206C" w:rsidRPr="00B325C2">
              <w:rPr>
                <w:lang w:val="en-GB"/>
              </w:rPr>
              <w:t xml:space="preserve"> should instruct brokers to send the prices directly to the administrator (or other third</w:t>
            </w:r>
            <w:r>
              <w:rPr>
                <w:lang w:val="en-GB"/>
              </w:rPr>
              <w:t>-</w:t>
            </w:r>
            <w:r w:rsidR="0061206C" w:rsidRPr="00B325C2">
              <w:rPr>
                <w:lang w:val="en-GB"/>
              </w:rPr>
              <w:t>party valuation service provider)</w:t>
            </w:r>
            <w:r>
              <w:rPr>
                <w:lang w:val="en-GB"/>
              </w:rPr>
              <w:t>.</w:t>
            </w:r>
          </w:p>
          <w:p w14:paraId="536CC711" w14:textId="63473011" w:rsidR="0061206C" w:rsidRDefault="00003E7C" w:rsidP="001B14A3">
            <w:pPr>
              <w:pStyle w:val="ListBullet2"/>
              <w:spacing w:before="120" w:after="0"/>
              <w:ind w:left="714" w:hanging="357"/>
              <w:rPr>
                <w:lang w:val="en-GB"/>
              </w:rPr>
            </w:pPr>
            <w:r>
              <w:rPr>
                <w:lang w:val="en-GB"/>
              </w:rPr>
              <w:lastRenderedPageBreak/>
              <w:t>I</w:t>
            </w:r>
            <w:r w:rsidR="0061206C" w:rsidRPr="00B325C2">
              <w:rPr>
                <w:lang w:val="en-GB"/>
              </w:rPr>
              <w:t>f using pricing models, a process specified in the Valuation Policy Document for</w:t>
            </w:r>
            <w:r w:rsidR="0061206C">
              <w:rPr>
                <w:rStyle w:val="FootnoteReference"/>
                <w:lang w:val="en-GB"/>
              </w:rPr>
              <w:footnoteReference w:id="21"/>
            </w:r>
            <w:r w:rsidR="0061206C" w:rsidRPr="00B325C2">
              <w:rPr>
                <w:lang w:val="en-GB"/>
              </w:rPr>
              <w:t>:</w:t>
            </w:r>
          </w:p>
          <w:p w14:paraId="0F1DC5B3" w14:textId="14991509" w:rsidR="0061206C" w:rsidRDefault="00003E7C" w:rsidP="001B14A3">
            <w:pPr>
              <w:pStyle w:val="ListBullet3"/>
              <w:spacing w:before="120" w:after="0"/>
              <w:ind w:left="1077" w:hanging="357"/>
              <w:rPr>
                <w:lang w:val="en-GB"/>
              </w:rPr>
            </w:pPr>
            <w:r>
              <w:rPr>
                <w:lang w:val="en-GB"/>
              </w:rPr>
              <w:t>A</w:t>
            </w:r>
            <w:r w:rsidR="0061206C" w:rsidRPr="00B325C2">
              <w:rPr>
                <w:lang w:val="en-GB"/>
              </w:rPr>
              <w:t>pproving pricing models including back-testing, documentation and approval by the fund governing body or its valuation committee</w:t>
            </w:r>
            <w:r>
              <w:rPr>
                <w:lang w:val="en-GB"/>
              </w:rPr>
              <w:t>,</w:t>
            </w:r>
          </w:p>
          <w:p w14:paraId="0436146F" w14:textId="1461CB6E" w:rsidR="0061206C" w:rsidRDefault="00003E7C" w:rsidP="001B14A3">
            <w:pPr>
              <w:pStyle w:val="ListBullet3"/>
              <w:spacing w:before="120" w:after="0"/>
              <w:ind w:left="1077" w:hanging="357"/>
              <w:rPr>
                <w:lang w:val="en-GB"/>
              </w:rPr>
            </w:pPr>
            <w:r>
              <w:rPr>
                <w:lang w:val="en-GB"/>
              </w:rPr>
              <w:t>M</w:t>
            </w:r>
            <w:r w:rsidR="0061206C" w:rsidRPr="00B325C2">
              <w:rPr>
                <w:lang w:val="en-GB"/>
              </w:rPr>
              <w:t>onitoring and verification against observed market prices</w:t>
            </w:r>
            <w:r>
              <w:rPr>
                <w:lang w:val="en-GB"/>
              </w:rPr>
              <w:t>,</w:t>
            </w:r>
            <w:r w:rsidR="0061206C" w:rsidRPr="00B325C2">
              <w:rPr>
                <w:lang w:val="en-GB"/>
              </w:rPr>
              <w:t xml:space="preserve"> and</w:t>
            </w:r>
            <w:r w:rsidR="0061206C">
              <w:rPr>
                <w:lang w:val="en-GB"/>
              </w:rPr>
              <w:t xml:space="preserve"> </w:t>
            </w:r>
          </w:p>
          <w:p w14:paraId="29BAA6D7" w14:textId="7538EF40" w:rsidR="0061206C" w:rsidRDefault="00003E7C" w:rsidP="001B14A3">
            <w:pPr>
              <w:pStyle w:val="ListBullet3"/>
              <w:spacing w:before="120" w:after="0"/>
              <w:ind w:left="1077" w:hanging="357"/>
              <w:rPr>
                <w:lang w:val="en-GB"/>
              </w:rPr>
            </w:pPr>
            <w:r>
              <w:rPr>
                <w:lang w:val="en-GB"/>
              </w:rPr>
              <w:t>G</w:t>
            </w:r>
            <w:r w:rsidR="0061206C">
              <w:rPr>
                <w:lang w:val="en-GB"/>
              </w:rPr>
              <w:t xml:space="preserve">overning manual overrides of the model inputs or results, including approval, documentation and reporting to the fund governing body or its valuation committee. </w:t>
            </w:r>
          </w:p>
          <w:p w14:paraId="789F48A3" w14:textId="77777777" w:rsidR="0061206C" w:rsidRDefault="0061206C" w:rsidP="001B14A3">
            <w:pPr>
              <w:pStyle w:val="ListBullet3"/>
              <w:numPr>
                <w:ilvl w:val="0"/>
                <w:numId w:val="0"/>
              </w:numPr>
              <w:spacing w:after="0"/>
              <w:rPr>
                <w:b/>
                <w:lang w:val="en-GB"/>
              </w:rPr>
            </w:pPr>
          </w:p>
          <w:p w14:paraId="11B2A0CF" w14:textId="525D44A1" w:rsidR="0061206C" w:rsidRDefault="0061206C" w:rsidP="001B14A3">
            <w:pPr>
              <w:pStyle w:val="ListBullet"/>
              <w:numPr>
                <w:ilvl w:val="0"/>
                <w:numId w:val="0"/>
              </w:numPr>
              <w:ind w:left="360" w:hanging="360"/>
              <w:rPr>
                <w:b/>
                <w:lang w:val="en-GB"/>
              </w:rPr>
            </w:pPr>
            <w:r>
              <w:rPr>
                <w:b/>
                <w:noProof/>
                <w:lang w:val="en-GB" w:eastAsia="en-GB" w:bidi="ar-SA"/>
              </w:rPr>
              <mc:AlternateContent>
                <mc:Choice Requires="wps">
                  <w:drawing>
                    <wp:anchor distT="0" distB="0" distL="114300" distR="114300" simplePos="0" relativeHeight="251665408" behindDoc="1" locked="0" layoutInCell="0" allowOverlap="1" wp14:anchorId="420273D2" wp14:editId="7322099D">
                      <wp:simplePos x="0" y="0"/>
                      <wp:positionH relativeFrom="page">
                        <wp:posOffset>3676650</wp:posOffset>
                      </wp:positionH>
                      <wp:positionV relativeFrom="page">
                        <wp:posOffset>7428865</wp:posOffset>
                      </wp:positionV>
                      <wp:extent cx="0" cy="0"/>
                      <wp:effectExtent l="9525" t="8890" r="9525" b="1016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20038F" id="Freeform 2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9.5pt,584.95pt,289.5pt,584.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" o:allowincell="f" filled="f" strokecolor="#000750" strokeweight=".5pt">
                      <v:path arrowok="t" o:connecttype="custom" o:connectlocs="0,0;0,0" o:connectangles="0,0"/>
                      <w10:wrap anchorx="page" anchory="page"/>
                    </v:polyline>
                  </w:pict>
                </mc:Fallback>
              </mc:AlternateContent>
            </w:r>
            <w:r>
              <w:rPr>
                <w:b/>
                <w:lang w:val="en-GB"/>
              </w:rPr>
              <w:t>7.2</w:t>
            </w:r>
            <w:r w:rsidR="00003E7C">
              <w:rPr>
                <w:b/>
                <w:lang w:val="en-GB"/>
              </w:rPr>
              <w:t xml:space="preserve">. </w:t>
            </w:r>
            <w:r w:rsidRPr="00302FD5">
              <w:rPr>
                <w:b/>
                <w:lang w:val="en-GB"/>
              </w:rPr>
              <w:t>If</w:t>
            </w:r>
            <w:r w:rsidRPr="00B325C2">
              <w:rPr>
                <w:b/>
                <w:lang w:val="en-GB"/>
              </w:rPr>
              <w:t xml:space="preserve"> using side pockets, </w:t>
            </w:r>
            <w:r>
              <w:rPr>
                <w:b/>
                <w:lang w:val="en-GB"/>
              </w:rPr>
              <w:t>a fund manager</w:t>
            </w:r>
            <w:r w:rsidRPr="00B325C2">
              <w:rPr>
                <w:b/>
                <w:lang w:val="en-GB"/>
              </w:rPr>
              <w:t xml:space="preserve"> should ensure </w:t>
            </w:r>
            <w:r w:rsidRPr="007E0DE6">
              <w:rPr>
                <w:b/>
                <w:lang w:val="en-GB"/>
              </w:rPr>
              <w:t>that the fund governing body has been consulted on, and consented to, the circumstances in which side-pockets may be used</w:t>
            </w:r>
            <w:r>
              <w:rPr>
                <w:b/>
                <w:lang w:val="en-GB"/>
              </w:rPr>
              <w:t>. Furthermore;</w:t>
            </w:r>
            <w:r>
              <w:rPr>
                <w:rStyle w:val="FootnoteReference"/>
                <w:b/>
                <w:lang w:val="en-GB"/>
              </w:rPr>
              <w:footnoteReference w:id="22"/>
            </w:r>
          </w:p>
          <w:p w14:paraId="0CCFE7F7" w14:textId="77777777" w:rsidR="0061206C" w:rsidRDefault="0061206C" w:rsidP="001B14A3">
            <w:pPr>
              <w:pStyle w:val="ListBullet2"/>
              <w:spacing w:after="120"/>
              <w:ind w:left="714" w:hanging="357"/>
              <w:rPr>
                <w:b/>
                <w:lang w:val="en-GB"/>
              </w:rPr>
            </w:pPr>
            <w:r>
              <w:rPr>
                <w:b/>
                <w:lang w:val="en-GB"/>
              </w:rPr>
              <w:t>T</w:t>
            </w:r>
            <w:r w:rsidRPr="00B325C2">
              <w:rPr>
                <w:b/>
                <w:lang w:val="en-GB"/>
              </w:rPr>
              <w:t>he types of asset eligible for side pocketing</w:t>
            </w:r>
            <w:r>
              <w:rPr>
                <w:b/>
                <w:lang w:val="en-GB"/>
              </w:rPr>
              <w:t xml:space="preserve"> should be described </w:t>
            </w:r>
            <w:r w:rsidRPr="00B325C2">
              <w:rPr>
                <w:b/>
                <w:lang w:val="en-GB"/>
              </w:rPr>
              <w:t xml:space="preserve">in the Valuation Policy Document and the side pocketing process </w:t>
            </w:r>
            <w:r>
              <w:rPr>
                <w:b/>
                <w:lang w:val="en-GB"/>
              </w:rPr>
              <w:t xml:space="preserve">should be disclosed </w:t>
            </w:r>
            <w:r w:rsidRPr="00B325C2">
              <w:rPr>
                <w:b/>
                <w:lang w:val="en-GB"/>
              </w:rPr>
              <w:t>in the fund's offering documents</w:t>
            </w:r>
            <w:r>
              <w:rPr>
                <w:b/>
                <w:lang w:val="en-GB"/>
              </w:rPr>
              <w:t>.</w:t>
            </w:r>
            <w:r w:rsidRPr="00B325C2">
              <w:rPr>
                <w:b/>
                <w:lang w:val="en-GB"/>
              </w:rPr>
              <w:t xml:space="preserve"> </w:t>
            </w:r>
          </w:p>
          <w:p w14:paraId="1F029C24" w14:textId="77777777" w:rsidR="0061206C" w:rsidRDefault="0061206C" w:rsidP="001B14A3">
            <w:pPr>
              <w:pStyle w:val="ListBullet2"/>
              <w:spacing w:after="120"/>
              <w:ind w:left="714" w:hanging="357"/>
              <w:rPr>
                <w:b/>
                <w:lang w:val="en-GB"/>
              </w:rPr>
            </w:pPr>
            <w:r>
              <w:rPr>
                <w:b/>
                <w:lang w:val="en-GB"/>
              </w:rPr>
              <w:t>S</w:t>
            </w:r>
            <w:r w:rsidRPr="00B325C2">
              <w:rPr>
                <w:b/>
                <w:lang w:val="en-GB"/>
              </w:rPr>
              <w:t xml:space="preserve">ide-pocketing </w:t>
            </w:r>
            <w:r>
              <w:rPr>
                <w:b/>
                <w:lang w:val="en-GB"/>
              </w:rPr>
              <w:t xml:space="preserve">should </w:t>
            </w:r>
            <w:r w:rsidRPr="00B325C2">
              <w:rPr>
                <w:b/>
                <w:lang w:val="en-GB"/>
              </w:rPr>
              <w:t>occur either on or about the time the relevant as</w:t>
            </w:r>
            <w:r>
              <w:rPr>
                <w:b/>
                <w:lang w:val="en-GB"/>
              </w:rPr>
              <w:t>set is purchased or on or about</w:t>
            </w:r>
            <w:r w:rsidRPr="00B325C2">
              <w:rPr>
                <w:b/>
                <w:lang w:val="en-GB"/>
              </w:rPr>
              <w:t xml:space="preserve"> the point at which the relevant asset becomes hard-to-value</w:t>
            </w:r>
            <w:r>
              <w:rPr>
                <w:b/>
                <w:lang w:val="en-GB"/>
              </w:rPr>
              <w:t>. T</w:t>
            </w:r>
            <w:r w:rsidRPr="00B325C2">
              <w:rPr>
                <w:b/>
                <w:lang w:val="en-GB"/>
              </w:rPr>
              <w:t xml:space="preserve">he initial valuation of an asset on entering a side-pocket </w:t>
            </w:r>
            <w:r>
              <w:rPr>
                <w:b/>
                <w:lang w:val="en-GB"/>
              </w:rPr>
              <w:t>should be</w:t>
            </w:r>
            <w:r w:rsidRPr="00B325C2">
              <w:rPr>
                <w:b/>
                <w:lang w:val="en-GB"/>
              </w:rPr>
              <w:t xml:space="preserve"> at cost</w:t>
            </w:r>
            <w:r w:rsidRPr="00B325C2">
              <w:rPr>
                <w:rStyle w:val="FootnoteReference"/>
                <w:b/>
                <w:lang w:val="en-GB"/>
              </w:rPr>
              <w:footnoteReference w:id="23"/>
            </w:r>
            <w:r w:rsidRPr="00B325C2">
              <w:rPr>
                <w:b/>
                <w:lang w:val="en-GB"/>
              </w:rPr>
              <w:t>, the last available market price (as appropriate) or a lower number or nil</w:t>
            </w:r>
            <w:r>
              <w:rPr>
                <w:b/>
                <w:lang w:val="en-GB"/>
              </w:rPr>
              <w:t>.</w:t>
            </w:r>
          </w:p>
          <w:p w14:paraId="422CC767" w14:textId="77777777" w:rsidR="0061206C" w:rsidRDefault="0061206C" w:rsidP="001B14A3">
            <w:pPr>
              <w:pStyle w:val="ListBullet2"/>
              <w:spacing w:after="120"/>
              <w:ind w:left="714" w:hanging="357"/>
              <w:rPr>
                <w:b/>
                <w:lang w:val="en-GB"/>
              </w:rPr>
            </w:pPr>
            <w:r>
              <w:rPr>
                <w:b/>
                <w:lang w:val="en-GB"/>
              </w:rPr>
              <w:t>W</w:t>
            </w:r>
            <w:r w:rsidRPr="00B325C2">
              <w:rPr>
                <w:b/>
                <w:lang w:val="en-GB"/>
              </w:rPr>
              <w:t>here a limit to the total amount of assets which may be included in side-pockets is disclosed in the fund's o</w:t>
            </w:r>
            <w:r>
              <w:rPr>
                <w:b/>
                <w:lang w:val="en-GB"/>
              </w:rPr>
              <w:t>ffering documents, such limit should</w:t>
            </w:r>
            <w:r w:rsidRPr="00B325C2">
              <w:rPr>
                <w:b/>
                <w:lang w:val="en-GB"/>
              </w:rPr>
              <w:t xml:space="preserve"> not </w:t>
            </w:r>
            <w:r>
              <w:rPr>
                <w:b/>
                <w:lang w:val="en-GB"/>
              </w:rPr>
              <w:t xml:space="preserve">be </w:t>
            </w:r>
            <w:r w:rsidRPr="00B325C2">
              <w:rPr>
                <w:b/>
                <w:lang w:val="en-GB"/>
              </w:rPr>
              <w:t>breached</w:t>
            </w:r>
            <w:r>
              <w:rPr>
                <w:b/>
                <w:lang w:val="en-GB"/>
              </w:rPr>
              <w:t>.</w:t>
            </w:r>
          </w:p>
          <w:p w14:paraId="4AEA8858" w14:textId="77777777" w:rsidR="0061206C" w:rsidRDefault="0061206C" w:rsidP="001B14A3">
            <w:pPr>
              <w:pStyle w:val="ListBullet2"/>
              <w:spacing w:after="120"/>
              <w:ind w:left="714" w:hanging="357"/>
              <w:rPr>
                <w:b/>
                <w:lang w:val="en-GB"/>
              </w:rPr>
            </w:pPr>
            <w:r>
              <w:rPr>
                <w:b/>
                <w:lang w:val="en-GB"/>
              </w:rPr>
              <w:t>M</w:t>
            </w:r>
            <w:r w:rsidRPr="00B325C2">
              <w:rPr>
                <w:b/>
                <w:lang w:val="en-GB"/>
              </w:rPr>
              <w:t>anagement fees, for the side pocketed assets</w:t>
            </w:r>
            <w:r>
              <w:rPr>
                <w:b/>
                <w:lang w:val="en-GB"/>
              </w:rPr>
              <w:t>, if charged,</w:t>
            </w:r>
            <w:r w:rsidRPr="00B325C2">
              <w:rPr>
                <w:b/>
                <w:lang w:val="en-GB"/>
              </w:rPr>
              <w:t xml:space="preserve"> </w:t>
            </w:r>
            <w:r>
              <w:rPr>
                <w:b/>
                <w:lang w:val="en-GB"/>
              </w:rPr>
              <w:t xml:space="preserve">should be </w:t>
            </w:r>
            <w:r w:rsidRPr="00B325C2">
              <w:rPr>
                <w:b/>
                <w:lang w:val="en-GB"/>
              </w:rPr>
              <w:t>calculated on no more than the lower of cost (or last available market price in the case of a previously liquid asset) or fair value</w:t>
            </w:r>
            <w:r>
              <w:rPr>
                <w:b/>
                <w:lang w:val="en-GB"/>
              </w:rPr>
              <w:t>.</w:t>
            </w:r>
          </w:p>
          <w:p w14:paraId="227D6E37" w14:textId="77777777" w:rsidR="0061206C" w:rsidRDefault="0061206C" w:rsidP="001B14A3">
            <w:pPr>
              <w:pStyle w:val="ListBullet2"/>
              <w:spacing w:after="120"/>
              <w:ind w:left="714" w:hanging="357"/>
              <w:rPr>
                <w:b/>
                <w:lang w:val="en-GB"/>
              </w:rPr>
            </w:pPr>
            <w:r>
              <w:rPr>
                <w:b/>
                <w:lang w:val="en-GB"/>
              </w:rPr>
              <w:t>A</w:t>
            </w:r>
            <w:r w:rsidRPr="00B325C2">
              <w:rPr>
                <w:b/>
                <w:lang w:val="en-GB"/>
              </w:rPr>
              <w:t xml:space="preserve">ny performance fees </w:t>
            </w:r>
            <w:r>
              <w:rPr>
                <w:b/>
                <w:lang w:val="en-GB"/>
              </w:rPr>
              <w:t xml:space="preserve">should </w:t>
            </w:r>
            <w:r w:rsidRPr="00B325C2">
              <w:rPr>
                <w:b/>
                <w:lang w:val="en-GB"/>
              </w:rPr>
              <w:t xml:space="preserve">accrue for the duration of the existence of the side pocket and </w:t>
            </w:r>
            <w:r>
              <w:rPr>
                <w:b/>
                <w:lang w:val="en-GB"/>
              </w:rPr>
              <w:t>should be</w:t>
            </w:r>
            <w:r w:rsidRPr="00B325C2">
              <w:rPr>
                <w:b/>
                <w:lang w:val="en-GB"/>
              </w:rPr>
              <w:t xml:space="preserve"> paid only at the point at which the asset is finally disposed of or a liquid market price is available.</w:t>
            </w:r>
          </w:p>
          <w:p w14:paraId="40F9EA14" w14:textId="77777777" w:rsidR="0061206C" w:rsidRPr="00E77840" w:rsidRDefault="0061206C" w:rsidP="001B14A3">
            <w:pPr>
              <w:pStyle w:val="ListBullet2"/>
              <w:numPr>
                <w:ilvl w:val="0"/>
                <w:numId w:val="0"/>
              </w:numPr>
              <w:ind w:left="360"/>
              <w:rPr>
                <w:i/>
                <w:iCs/>
                <w:lang w:val="en-GB"/>
              </w:rPr>
            </w:pPr>
            <w:r w:rsidRPr="004519D8">
              <w:rPr>
                <w:i/>
                <w:iCs/>
                <w:lang w:val="en-GB"/>
              </w:rPr>
              <w:t>Fund managers could also refer to the SBAI Toolbox Memos on Valuation for Alternative Credit</w:t>
            </w:r>
            <w:r w:rsidRPr="004519D8">
              <w:rPr>
                <w:rStyle w:val="FootnoteReference"/>
                <w:i/>
                <w:iCs/>
                <w:lang w:val="en-GB"/>
              </w:rPr>
              <w:footnoteReference w:id="24"/>
            </w:r>
            <w:r w:rsidRPr="004519D8">
              <w:rPr>
                <w:i/>
                <w:iCs/>
                <w:lang w:val="en-GB"/>
              </w:rPr>
              <w:t xml:space="preserve"> and Insurance Linked Strategies</w:t>
            </w:r>
            <w:r w:rsidRPr="004519D8">
              <w:rPr>
                <w:rStyle w:val="FootnoteReference"/>
                <w:i/>
                <w:iCs/>
                <w:lang w:val="en-GB"/>
              </w:rPr>
              <w:footnoteReference w:id="25"/>
            </w:r>
            <w:r w:rsidRPr="004519D8">
              <w:rPr>
                <w:i/>
                <w:iCs/>
                <w:lang w:val="en-GB"/>
              </w:rPr>
              <w:t>, as well as publications by industry associations and regulators for</w:t>
            </w:r>
            <w:r w:rsidRPr="00E77840">
              <w:rPr>
                <w:i/>
                <w:iCs/>
                <w:lang w:val="en-GB"/>
              </w:rPr>
              <w:t xml:space="preserve"> further guidance on the valuation of hard-to-value assets.</w:t>
            </w:r>
          </w:p>
        </w:tc>
      </w:tr>
    </w:tbl>
    <w:p w14:paraId="1F0CDF00" w14:textId="77777777" w:rsidR="00003E7C" w:rsidRDefault="00003E7C" w:rsidP="00003E7C">
      <w:pPr>
        <w:pStyle w:val="NoSpacing"/>
      </w:pPr>
      <w:bookmarkStart w:id="13" w:name="_Toc181508666"/>
      <w:bookmarkStart w:id="14" w:name="_Toc185306150"/>
    </w:p>
    <w:p w14:paraId="66D822E9" w14:textId="0DF58570" w:rsidR="0061206C" w:rsidRDefault="0061206C" w:rsidP="0061206C">
      <w:pPr>
        <w:pStyle w:val="Heading3"/>
      </w:pPr>
      <w:r w:rsidRPr="00B325C2">
        <w:t>Hard-to-</w:t>
      </w:r>
      <w:r>
        <w:t>V</w:t>
      </w:r>
      <w:r w:rsidRPr="00B325C2">
        <w:t xml:space="preserve">alue </w:t>
      </w:r>
      <w:r>
        <w:t>A</w:t>
      </w:r>
      <w:r w:rsidRPr="00B325C2">
        <w:t>ssets – Disclosure</w:t>
      </w:r>
      <w:bookmarkEnd w:id="13"/>
      <w:bookmarkEnd w:id="14"/>
      <w:r w:rsidRPr="00B325C2">
        <w:t xml:space="preserve"> Standards and Guidance [8]</w:t>
      </w:r>
    </w:p>
    <w:p w14:paraId="0CC01FFC" w14:textId="77777777" w:rsidR="0061206C" w:rsidRPr="007F5F4A" w:rsidRDefault="0061206C" w:rsidP="0061206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61206C" w:rsidRPr="00B325C2" w14:paraId="1DE077EF" w14:textId="77777777" w:rsidTr="001B14A3">
        <w:tc>
          <w:tcPr>
            <w:tcW w:w="9464" w:type="dxa"/>
            <w:shd w:val="clear" w:color="auto" w:fill="F7F9FB" w:themeFill="accent1" w:themeFillTint="33"/>
          </w:tcPr>
          <w:p w14:paraId="4197CA22" w14:textId="3F1ABD15" w:rsidR="0061206C" w:rsidRDefault="0061206C" w:rsidP="001B14A3">
            <w:pPr>
              <w:pStyle w:val="ListBullet"/>
              <w:numPr>
                <w:ilvl w:val="0"/>
                <w:numId w:val="0"/>
              </w:numPr>
              <w:spacing w:after="120"/>
              <w:ind w:left="357" w:hanging="357"/>
              <w:rPr>
                <w:b/>
                <w:lang w:val="en-GB"/>
              </w:rPr>
            </w:pPr>
            <w:r>
              <w:rPr>
                <w:b/>
                <w:noProof/>
                <w:lang w:val="en-GB" w:eastAsia="en-GB" w:bidi="ar-SA"/>
              </w:rPr>
              <w:lastRenderedPageBreak/>
              <mc:AlternateContent>
                <mc:Choice Requires="wps">
                  <w:drawing>
                    <wp:anchor distT="0" distB="0" distL="114300" distR="114300" simplePos="0" relativeHeight="251664384" behindDoc="1" locked="0" layoutInCell="0" allowOverlap="1" wp14:anchorId="7BD7D36D" wp14:editId="21D7057E">
                      <wp:simplePos x="0" y="0"/>
                      <wp:positionH relativeFrom="page">
                        <wp:posOffset>2084705</wp:posOffset>
                      </wp:positionH>
                      <wp:positionV relativeFrom="paragraph">
                        <wp:posOffset>2335530</wp:posOffset>
                      </wp:positionV>
                      <wp:extent cx="0" cy="0"/>
                      <wp:effectExtent l="8255" t="12065" r="10795" b="6985"/>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65503" id="Freeform 2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15pt,183.9pt,164.15pt,183.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" o:allowincell="f" filled="f" strokecolor="#000750" strokeweight=".5pt">
                      <v:path arrowok="t" o:connecttype="custom" o:connectlocs="0,0;0,0" o:connectangles="0,0"/>
                      <w10:wrap anchorx="page"/>
                    </v:polyline>
                  </w:pict>
                </mc:Fallback>
              </mc:AlternateContent>
            </w:r>
            <w:r>
              <w:rPr>
                <w:b/>
                <w:lang w:val="en-GB"/>
              </w:rPr>
              <w:t>8.1</w:t>
            </w:r>
            <w:r w:rsidR="00003E7C">
              <w:rPr>
                <w:b/>
                <w:lang w:val="en-GB"/>
              </w:rPr>
              <w:t xml:space="preserve">. </w:t>
            </w:r>
            <w:r>
              <w:rPr>
                <w:b/>
                <w:lang w:val="en-GB"/>
              </w:rPr>
              <w:t>T</w:t>
            </w:r>
            <w:r w:rsidRPr="00B325C2">
              <w:rPr>
                <w:b/>
                <w:lang w:val="en-GB"/>
              </w:rPr>
              <w:t xml:space="preserve">he percentage of the fund's portfolio that </w:t>
            </w:r>
            <w:r>
              <w:rPr>
                <w:b/>
                <w:lang w:val="en-GB"/>
              </w:rPr>
              <w:t>falls into each of the three “levels” prescribed by ASC 820</w:t>
            </w:r>
            <w:r>
              <w:rPr>
                <w:rStyle w:val="FootnoteReference"/>
                <w:b/>
                <w:lang w:val="en-GB"/>
              </w:rPr>
              <w:footnoteReference w:id="26"/>
            </w:r>
            <w:r>
              <w:rPr>
                <w:b/>
                <w:lang w:val="en-GB"/>
              </w:rPr>
              <w:t xml:space="preserve"> or IFRS 7, or equivalent account standards or recognised definitions (</w:t>
            </w:r>
            <w:r w:rsidRPr="00B325C2">
              <w:rPr>
                <w:b/>
                <w:lang w:val="en-GB"/>
              </w:rPr>
              <w:t>and, where meaningful and applicable, the extent to which internal pricing models or assumptions are used to value certain components of the fund’s portfolio</w:t>
            </w:r>
            <w:r>
              <w:rPr>
                <w:b/>
                <w:lang w:val="en-GB"/>
              </w:rPr>
              <w:t xml:space="preserve"> invested in hard-to-value assets) should be periodically disclosed (</w:t>
            </w:r>
            <w:r w:rsidR="00003E7C">
              <w:rPr>
                <w:b/>
                <w:lang w:val="en-GB"/>
              </w:rPr>
              <w:t>e.g.,</w:t>
            </w:r>
            <w:r>
              <w:rPr>
                <w:b/>
                <w:lang w:val="en-GB"/>
              </w:rPr>
              <w:t xml:space="preserve"> via newsletters)</w:t>
            </w:r>
            <w:r w:rsidRPr="00B325C2">
              <w:rPr>
                <w:b/>
                <w:lang w:val="en-GB"/>
              </w:rPr>
              <w:t xml:space="preserve">. </w:t>
            </w:r>
          </w:p>
          <w:p w14:paraId="77324E0B" w14:textId="6D2D814D" w:rsidR="0061206C" w:rsidRDefault="0061206C" w:rsidP="001B14A3">
            <w:pPr>
              <w:spacing w:after="120"/>
              <w:ind w:left="357" w:hanging="357"/>
              <w:rPr>
                <w:b/>
              </w:rPr>
            </w:pPr>
            <w:r>
              <w:rPr>
                <w:b/>
              </w:rPr>
              <w:t>8.2</w:t>
            </w:r>
            <w:r w:rsidR="00003E7C">
              <w:rPr>
                <w:b/>
              </w:rPr>
              <w:t xml:space="preserve">. </w:t>
            </w:r>
            <w:r w:rsidRPr="00302FD5">
              <w:rPr>
                <w:b/>
              </w:rPr>
              <w:t>N</w:t>
            </w:r>
            <w:r w:rsidRPr="00B325C2">
              <w:rPr>
                <w:b/>
              </w:rPr>
              <w:t>otification of any material increase (as determined by the fund governing body) in the percentage of a fund's portfolio invested in</w:t>
            </w:r>
            <w:r>
              <w:rPr>
                <w:b/>
              </w:rPr>
              <w:t xml:space="preserve"> </w:t>
            </w:r>
            <w:r w:rsidRPr="00B325C2">
              <w:rPr>
                <w:b/>
              </w:rPr>
              <w:t xml:space="preserve">hard-to-value assets should be disclosed to investors in a timely manner, </w:t>
            </w:r>
            <w:r w:rsidR="00003E7C" w:rsidRPr="00B325C2">
              <w:rPr>
                <w:b/>
              </w:rPr>
              <w:t>e.g.,</w:t>
            </w:r>
            <w:r w:rsidRPr="00B325C2">
              <w:rPr>
                <w:b/>
              </w:rPr>
              <w:t xml:space="preserve"> via the manager's newsletters.</w:t>
            </w:r>
          </w:p>
          <w:p w14:paraId="5FE8F813" w14:textId="1BFF55F9" w:rsidR="0061206C" w:rsidRDefault="0061206C" w:rsidP="001B14A3">
            <w:pPr>
              <w:pStyle w:val="ListBullet"/>
              <w:numPr>
                <w:ilvl w:val="0"/>
                <w:numId w:val="0"/>
              </w:numPr>
              <w:spacing w:after="120"/>
              <w:ind w:left="357" w:hanging="357"/>
              <w:rPr>
                <w:rFonts w:ascii="Arial Black" w:hAnsi="Arial Black" w:cs="Arial"/>
                <w:b/>
                <w:sz w:val="20"/>
                <w:lang w:val="en-GB"/>
              </w:rPr>
            </w:pPr>
            <w:r>
              <w:rPr>
                <w:b/>
                <w:lang w:val="en-GB"/>
              </w:rPr>
              <w:t>8.3</w:t>
            </w:r>
            <w:r w:rsidR="00003E7C">
              <w:rPr>
                <w:b/>
                <w:lang w:val="en-GB"/>
              </w:rPr>
              <w:t xml:space="preserve">. </w:t>
            </w:r>
            <w:r>
              <w:rPr>
                <w:b/>
                <w:lang w:val="en-GB"/>
              </w:rPr>
              <w:t>T</w:t>
            </w:r>
            <w:r w:rsidRPr="00B325C2">
              <w:rPr>
                <w:b/>
                <w:lang w:val="en-GB"/>
              </w:rPr>
              <w:t xml:space="preserve">he value of side pockets </w:t>
            </w:r>
            <w:r>
              <w:rPr>
                <w:b/>
                <w:lang w:val="en-GB"/>
              </w:rPr>
              <w:t xml:space="preserve">should be reported periodically </w:t>
            </w:r>
            <w:r w:rsidRPr="00B325C2">
              <w:rPr>
                <w:b/>
                <w:lang w:val="en-GB"/>
              </w:rPr>
              <w:t>in the fund’s audited annual accounts in accordance with applicable accounting standards.</w:t>
            </w:r>
            <w:r>
              <w:rPr>
                <w:rStyle w:val="FootnoteReference"/>
                <w:b/>
                <w:lang w:val="en-GB"/>
              </w:rPr>
              <w:footnoteReference w:id="27"/>
            </w:r>
            <w:r w:rsidRPr="00B325C2">
              <w:rPr>
                <w:b/>
                <w:lang w:val="en-GB"/>
              </w:rPr>
              <w:t xml:space="preserve"> </w:t>
            </w:r>
          </w:p>
          <w:p w14:paraId="0781E951" w14:textId="0786ECB1" w:rsidR="0061206C" w:rsidRDefault="0061206C" w:rsidP="001B14A3">
            <w:pPr>
              <w:pStyle w:val="ListBullet"/>
              <w:numPr>
                <w:ilvl w:val="0"/>
                <w:numId w:val="0"/>
              </w:numPr>
              <w:spacing w:after="120"/>
              <w:ind w:left="357" w:hanging="357"/>
              <w:rPr>
                <w:rFonts w:ascii="Arial Black" w:hAnsi="Arial Black" w:cs="Arial"/>
                <w:b/>
                <w:sz w:val="20"/>
                <w:lang w:val="en-GB"/>
              </w:rPr>
            </w:pPr>
            <w:r>
              <w:rPr>
                <w:b/>
                <w:lang w:val="en-GB"/>
              </w:rPr>
              <w:t>8.4</w:t>
            </w:r>
            <w:r w:rsidR="00003E7C">
              <w:rPr>
                <w:b/>
                <w:lang w:val="en-GB"/>
              </w:rPr>
              <w:t xml:space="preserve">. </w:t>
            </w:r>
            <w:r>
              <w:rPr>
                <w:b/>
                <w:lang w:val="en-GB"/>
              </w:rPr>
              <w:t>A fund manager</w:t>
            </w:r>
            <w:r w:rsidRPr="00B325C2">
              <w:rPr>
                <w:b/>
                <w:lang w:val="en-GB"/>
              </w:rPr>
              <w:t xml:space="preserve"> conducting valuations in-house should discuss with the fund governing body any material issues in relation to the valuation of hard-to-value assets (e.g.</w:t>
            </w:r>
            <w:r w:rsidR="00003E7C">
              <w:rPr>
                <w:b/>
                <w:lang w:val="en-GB"/>
              </w:rPr>
              <w:t>,</w:t>
            </w:r>
            <w:r w:rsidRPr="00B325C2">
              <w:rPr>
                <w:b/>
                <w:lang w:val="en-GB"/>
              </w:rPr>
              <w:t xml:space="preserve"> unavailability of a sufficient number of pricing sources or dispersion of broker quotes beyond tolerance levels)</w:t>
            </w:r>
            <w:r>
              <w:rPr>
                <w:b/>
                <w:lang w:val="en-GB"/>
              </w:rPr>
              <w:t xml:space="preserve">. Such material issues in relation to the valuation of hard-to-value assets should be </w:t>
            </w:r>
            <w:r w:rsidRPr="00B325C2">
              <w:rPr>
                <w:b/>
                <w:lang w:val="en-GB"/>
              </w:rPr>
              <w:t>disclose</w:t>
            </w:r>
            <w:r>
              <w:rPr>
                <w:b/>
                <w:lang w:val="en-GB"/>
              </w:rPr>
              <w:t>d</w:t>
            </w:r>
            <w:r w:rsidRPr="00B325C2">
              <w:rPr>
                <w:b/>
                <w:lang w:val="en-GB"/>
              </w:rPr>
              <w:t xml:space="preserve"> to investors.</w:t>
            </w:r>
            <w:r>
              <w:fldChar w:fldCharType="begin"/>
            </w:r>
            <w:r>
              <w:instrText xml:space="preserve"> NOTEREF _Ref298147528 \h  \* MERGEFORMAT </w:instrText>
            </w:r>
            <w:r>
              <w:fldChar w:fldCharType="separate"/>
            </w:r>
            <w:r w:rsidR="001F7CB0" w:rsidRPr="001F7CB0">
              <w:rPr>
                <w:b/>
                <w:vertAlign w:val="superscript"/>
                <w:lang w:val="en-GB"/>
              </w:rPr>
              <w:t>13</w:t>
            </w:r>
            <w:r>
              <w:fldChar w:fldCharType="end"/>
            </w:r>
          </w:p>
        </w:tc>
      </w:tr>
    </w:tbl>
    <w:p w14:paraId="2212C229" w14:textId="6A51B6ED" w:rsidR="00A844C3" w:rsidRPr="00193A0D" w:rsidRDefault="00A844C3" w:rsidP="00A844C3">
      <w:pPr>
        <w:pStyle w:val="Heading2"/>
      </w:pPr>
      <w:r w:rsidRPr="00193A0D">
        <w:t>Operational Risk [17] + [18]</w:t>
      </w:r>
    </w:p>
    <w:p w14:paraId="44AF7390" w14:textId="77777777" w:rsidR="00A844C3" w:rsidRDefault="00A844C3" w:rsidP="00A844C3">
      <w:pPr>
        <w:spacing w:after="0"/>
        <w:rPr>
          <w:b/>
        </w:rPr>
      </w:pPr>
    </w:p>
    <w:p w14:paraId="19F13EE5" w14:textId="77777777" w:rsidR="00A844C3" w:rsidRPr="00047787" w:rsidRDefault="00A844C3" w:rsidP="00A844C3">
      <w:r w:rsidRPr="001E179E">
        <w:rPr>
          <w:b/>
        </w:rPr>
        <w:t>Overview</w:t>
      </w:r>
      <w:r>
        <w:rPr>
          <w:b/>
        </w:rPr>
        <w:t xml:space="preserve"> of areas covered</w:t>
      </w:r>
      <w:r w:rsidRPr="001E179E">
        <w:rPr>
          <w:b/>
        </w:rPr>
        <w:t>:</w:t>
      </w:r>
    </w:p>
    <w:p w14:paraId="4E414FA1" w14:textId="2352451E" w:rsidR="00A844C3" w:rsidRDefault="00A844C3" w:rsidP="00A844C3">
      <w:pPr>
        <w:pStyle w:val="NoSpacing"/>
        <w:numPr>
          <w:ilvl w:val="0"/>
          <w:numId w:val="23"/>
        </w:numPr>
      </w:pPr>
      <w:r w:rsidRPr="00A844C3">
        <w:t>People and Governance [17a], Trading and Execution [17b], Fraud and Financial Crime Prevention [17c], Disaster Recovery [17d], Model Risks [17e], IT Security [17f], Legal and Regulatory Risk [17g], Personal Account Dealing [17h], Trade Allocation [17g] and Conflicts of Interest [17j]</w:t>
      </w:r>
    </w:p>
    <w:p w14:paraId="26325403" w14:textId="77777777" w:rsidR="00741426" w:rsidRPr="00A844C3" w:rsidRDefault="00741426" w:rsidP="00741426">
      <w:pPr>
        <w:pStyle w:val="NoSpacing"/>
      </w:pPr>
    </w:p>
    <w:p w14:paraId="3A98C23C" w14:textId="77777777" w:rsidR="00A844C3" w:rsidRDefault="00A844C3" w:rsidP="00A844C3">
      <w:pPr>
        <w:pStyle w:val="Heading3"/>
      </w:pPr>
      <w:r>
        <w:t xml:space="preserve">People and Governance </w:t>
      </w:r>
      <w:r w:rsidRPr="008A302C">
        <w:t>- Governance Standards and Guidance [17a]</w:t>
      </w:r>
    </w:p>
    <w:p w14:paraId="11603D1C"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0372EE3F" w14:textId="77777777" w:rsidTr="001B14A3">
        <w:trPr>
          <w:trHeight w:val="392"/>
        </w:trPr>
        <w:tc>
          <w:tcPr>
            <w:tcW w:w="9464" w:type="dxa"/>
            <w:shd w:val="clear" w:color="auto" w:fill="F7F9FB" w:themeFill="accent1" w:themeFillTint="33"/>
          </w:tcPr>
          <w:p w14:paraId="34150F53" w14:textId="77777777" w:rsidR="00A844C3" w:rsidRDefault="00A844C3" w:rsidP="001B14A3">
            <w:pPr>
              <w:pStyle w:val="ListBullet"/>
              <w:numPr>
                <w:ilvl w:val="0"/>
                <w:numId w:val="0"/>
              </w:numPr>
              <w:spacing w:after="120"/>
              <w:ind w:left="567" w:hanging="567"/>
              <w:rPr>
                <w:b/>
                <w:lang w:val="en-GB"/>
              </w:rPr>
            </w:pPr>
            <w:r>
              <w:rPr>
                <w:b/>
                <w:lang w:val="en-GB"/>
              </w:rPr>
              <w:t xml:space="preserve">17a.1 </w:t>
            </w:r>
            <w:r w:rsidRPr="00B325C2">
              <w:rPr>
                <w:b/>
                <w:lang w:val="en-GB"/>
              </w:rPr>
              <w:t xml:space="preserve">In areas where potential conflicts of interest could arise (valuation, risk management, compliance), </w:t>
            </w:r>
            <w:r>
              <w:rPr>
                <w:b/>
                <w:lang w:val="en-GB"/>
              </w:rPr>
              <w:t>a fund manager</w:t>
            </w:r>
            <w:r w:rsidRPr="00B325C2">
              <w:rPr>
                <w:b/>
                <w:lang w:val="en-GB"/>
              </w:rPr>
              <w:t xml:space="preserve"> should clearly divide these activities from the portfolio management function with separate reporting lines into the manager's chief executive officer or chief investment officer or similar.  If a smaller or start-up manager considers it impractical to do so, it should disclose this in its marketing documents</w:t>
            </w:r>
            <w:r>
              <w:rPr>
                <w:b/>
                <w:lang w:val="en-GB"/>
              </w:rPr>
              <w:t xml:space="preserve"> and such potential conflicts of interest should also be</w:t>
            </w:r>
            <w:r w:rsidRPr="00B325C2">
              <w:rPr>
                <w:b/>
                <w:lang w:val="en-GB"/>
              </w:rPr>
              <w:t xml:space="preserve"> disclose</w:t>
            </w:r>
            <w:r>
              <w:rPr>
                <w:b/>
                <w:lang w:val="en-GB"/>
              </w:rPr>
              <w:t>d</w:t>
            </w:r>
            <w:r w:rsidRPr="00B325C2">
              <w:rPr>
                <w:b/>
                <w:lang w:val="en-GB"/>
              </w:rPr>
              <w:t xml:space="preserve"> in the fund's offering documents.</w:t>
            </w:r>
            <w:r>
              <w:rPr>
                <w:rStyle w:val="FootnoteReference"/>
                <w:b/>
                <w:lang w:val="en-GB"/>
              </w:rPr>
              <w:footnoteReference w:id="28"/>
            </w:r>
          </w:p>
          <w:p w14:paraId="26F9A6D0" w14:textId="77777777" w:rsidR="00A844C3" w:rsidRDefault="00A844C3" w:rsidP="001B14A3">
            <w:pPr>
              <w:pStyle w:val="ListBullet"/>
              <w:numPr>
                <w:ilvl w:val="0"/>
                <w:numId w:val="0"/>
              </w:numPr>
              <w:spacing w:after="120"/>
              <w:ind w:left="567" w:hanging="567"/>
              <w:rPr>
                <w:b/>
                <w:lang w:val="en-GB"/>
              </w:rPr>
            </w:pPr>
            <w:r>
              <w:rPr>
                <w:b/>
                <w:lang w:val="en-GB"/>
              </w:rPr>
              <w:t>17a.2 A fund manager</w:t>
            </w:r>
            <w:r w:rsidRPr="002C60E3">
              <w:rPr>
                <w:b/>
                <w:lang w:val="en-GB"/>
              </w:rPr>
              <w:t>'s staff remuneration should not set false incentives (e.g., by linking the compensation of the valuation team directly to fund performance).</w:t>
            </w:r>
          </w:p>
          <w:p w14:paraId="5281543A" w14:textId="77777777" w:rsidR="00A844C3" w:rsidRDefault="00A844C3" w:rsidP="001B14A3">
            <w:pPr>
              <w:pStyle w:val="ListBullet"/>
              <w:numPr>
                <w:ilvl w:val="0"/>
                <w:numId w:val="0"/>
              </w:numPr>
              <w:spacing w:after="120"/>
              <w:ind w:left="567" w:hanging="567"/>
              <w:rPr>
                <w:b/>
                <w:lang w:val="en-GB"/>
              </w:rPr>
            </w:pPr>
            <w:r>
              <w:rPr>
                <w:b/>
                <w:lang w:val="en-GB"/>
              </w:rPr>
              <w:t>17a.3 A fund manager</w:t>
            </w:r>
            <w:r w:rsidRPr="002C60E3">
              <w:rPr>
                <w:b/>
                <w:lang w:val="en-GB"/>
              </w:rPr>
              <w:t xml:space="preserve"> should ensure that material aspects of its operational procedures are adequately documented, and training is provided to staff. This should include, among</w:t>
            </w:r>
            <w:r>
              <w:rPr>
                <w:b/>
                <w:lang w:val="en-GB"/>
              </w:rPr>
              <w:t>st</w:t>
            </w:r>
            <w:r w:rsidRPr="002C60E3">
              <w:rPr>
                <w:b/>
                <w:lang w:val="en-GB"/>
              </w:rPr>
              <w:t xml:space="preserve"> other things, areas such as compliance procedures, back-up/disaster recovery procedures, </w:t>
            </w:r>
            <w:r w:rsidRPr="002C60E3">
              <w:rPr>
                <w:b/>
                <w:lang w:val="en-GB"/>
              </w:rPr>
              <w:lastRenderedPageBreak/>
              <w:t xml:space="preserve">and client confidentiality. </w:t>
            </w:r>
            <w:r>
              <w:rPr>
                <w:b/>
                <w:lang w:val="en-GB"/>
              </w:rPr>
              <w:t>A fund manager</w:t>
            </w:r>
            <w:r w:rsidRPr="002C60E3">
              <w:rPr>
                <w:b/>
                <w:lang w:val="en-GB"/>
              </w:rPr>
              <w:t xml:space="preserve"> should also periodically test its compliance procedures or have them audited by an external party.</w:t>
            </w:r>
          </w:p>
          <w:p w14:paraId="468906AB" w14:textId="77777777" w:rsidR="00A844C3" w:rsidRDefault="00A844C3" w:rsidP="001B14A3">
            <w:pPr>
              <w:pStyle w:val="ListBullet"/>
              <w:numPr>
                <w:ilvl w:val="0"/>
                <w:numId w:val="0"/>
              </w:numPr>
              <w:spacing w:after="120"/>
              <w:ind w:left="567" w:hanging="567"/>
              <w:rPr>
                <w:b/>
                <w:lang w:val="en-GB"/>
              </w:rPr>
            </w:pPr>
            <w:r>
              <w:rPr>
                <w:b/>
                <w:lang w:val="en-GB"/>
              </w:rPr>
              <w:t xml:space="preserve">17a.4 </w:t>
            </w:r>
            <w:r w:rsidRPr="002C60E3">
              <w:rPr>
                <w:b/>
                <w:lang w:val="en-GB"/>
              </w:rPr>
              <w:t>O</w:t>
            </w:r>
            <w:r w:rsidRPr="001E179E">
              <w:rPr>
                <w:b/>
                <w:lang w:val="en-GB"/>
              </w:rPr>
              <w:t>ne or more third parties, independent o</w:t>
            </w:r>
            <w:r w:rsidRPr="00B325C2">
              <w:rPr>
                <w:b/>
                <w:lang w:val="en-GB"/>
              </w:rPr>
              <w:t xml:space="preserve">f the manager, </w:t>
            </w:r>
            <w:r>
              <w:rPr>
                <w:b/>
                <w:lang w:val="en-GB"/>
              </w:rPr>
              <w:t xml:space="preserve">should be appointed </w:t>
            </w:r>
            <w:r w:rsidRPr="00B325C2">
              <w:rPr>
                <w:b/>
                <w:lang w:val="en-GB"/>
              </w:rPr>
              <w:t>to be responsible for the safekeeping of the property of the fund.</w:t>
            </w:r>
            <w:r>
              <w:rPr>
                <w:rStyle w:val="FootnoteReference"/>
                <w:b/>
                <w:lang w:val="en-GB"/>
              </w:rPr>
              <w:footnoteReference w:id="29"/>
            </w:r>
          </w:p>
          <w:p w14:paraId="11D1A08C" w14:textId="77777777" w:rsidR="00A844C3" w:rsidRDefault="00A844C3" w:rsidP="001B14A3">
            <w:pPr>
              <w:pStyle w:val="ListBullet2"/>
              <w:spacing w:after="120"/>
              <w:ind w:hanging="153"/>
              <w:rPr>
                <w:lang w:val="en-GB"/>
              </w:rPr>
            </w:pPr>
            <w:r w:rsidRPr="00B325C2">
              <w:rPr>
                <w:lang w:val="en-GB"/>
              </w:rPr>
              <w:t xml:space="preserve">The </w:t>
            </w:r>
            <w:r>
              <w:rPr>
                <w:lang w:val="en-GB"/>
              </w:rPr>
              <w:t>SBAI</w:t>
            </w:r>
            <w:r w:rsidRPr="00B325C2">
              <w:rPr>
                <w:lang w:val="en-GB"/>
              </w:rPr>
              <w:t xml:space="preserve"> acknowledges that in the case of master feeder structures, it will not be appropriate for the feeder fund, which will normally hold shares/interests in the master fund and some cash, to appoint a third party responsible for safekeeping its assets. In such circumstances, appropriate due diligence </w:t>
            </w:r>
            <w:r>
              <w:rPr>
                <w:lang w:val="en-GB"/>
              </w:rPr>
              <w:t xml:space="preserve">should be conducted </w:t>
            </w:r>
            <w:r w:rsidRPr="00B325C2">
              <w:rPr>
                <w:lang w:val="en-GB"/>
              </w:rPr>
              <w:t>on the master fund and the arrangements in place for the safekeeping of its assets.</w:t>
            </w:r>
          </w:p>
          <w:p w14:paraId="3208C6D8" w14:textId="77777777" w:rsidR="00A844C3" w:rsidRPr="001079D5" w:rsidRDefault="00A844C3" w:rsidP="001B14A3">
            <w:pPr>
              <w:pStyle w:val="ListBullet2"/>
              <w:spacing w:after="120"/>
              <w:ind w:hanging="153"/>
              <w:rPr>
                <w:lang w:val="en-GB"/>
              </w:rPr>
            </w:pPr>
            <w:r w:rsidRPr="00B325C2">
              <w:rPr>
                <w:lang w:val="en-GB"/>
              </w:rPr>
              <w:t xml:space="preserve">The </w:t>
            </w:r>
            <w:r>
              <w:rPr>
                <w:lang w:val="en-GB"/>
              </w:rPr>
              <w:t>SBAI</w:t>
            </w:r>
            <w:r w:rsidRPr="00B325C2">
              <w:rPr>
                <w:lang w:val="en-GB"/>
              </w:rPr>
              <w:t xml:space="preserve"> acknowledges that prime brokers may take charges and/or security interests over the assets of a fund or may hold fund assets as collateral.</w:t>
            </w:r>
          </w:p>
          <w:p w14:paraId="15C117D9" w14:textId="77777777" w:rsidR="00A844C3" w:rsidRPr="006F33A2" w:rsidRDefault="00A844C3" w:rsidP="001B14A3">
            <w:pPr>
              <w:pStyle w:val="ListBullet"/>
              <w:numPr>
                <w:ilvl w:val="0"/>
                <w:numId w:val="0"/>
              </w:numPr>
              <w:spacing w:after="120"/>
              <w:ind w:left="567" w:hanging="567"/>
              <w:rPr>
                <w:b/>
                <w:lang w:val="en-GB"/>
              </w:rPr>
            </w:pPr>
            <w:r>
              <w:rPr>
                <w:b/>
                <w:lang w:val="en-GB"/>
              </w:rPr>
              <w:t xml:space="preserve">17a.5 </w:t>
            </w:r>
            <w:r w:rsidRPr="00B325C2">
              <w:rPr>
                <w:b/>
                <w:lang w:val="en-GB"/>
              </w:rPr>
              <w:t xml:space="preserve">A third party, independent of the manager, with responsibility for fund administration (including calculation of the NAV and the maintenance of the accounting records of the fund) </w:t>
            </w:r>
            <w:r>
              <w:rPr>
                <w:b/>
                <w:lang w:val="en-GB"/>
              </w:rPr>
              <w:t xml:space="preserve">should be appointed </w:t>
            </w:r>
            <w:proofErr w:type="gramStart"/>
            <w:r w:rsidRPr="00B325C2">
              <w:rPr>
                <w:b/>
                <w:lang w:val="en-GB"/>
              </w:rPr>
              <w:t>in order to</w:t>
            </w:r>
            <w:proofErr w:type="gramEnd"/>
            <w:r w:rsidRPr="00B325C2">
              <w:rPr>
                <w:b/>
                <w:lang w:val="en-GB"/>
              </w:rPr>
              <w:t xml:space="preserve"> ensure the segregation of functions and the avoidance of conflicts of interest in relation to the provision of fund administration services.</w:t>
            </w:r>
            <w:r>
              <w:rPr>
                <w:b/>
                <w:vertAlign w:val="superscript"/>
                <w:lang w:val="en-GB"/>
              </w:rPr>
              <w:t xml:space="preserve"> </w:t>
            </w:r>
            <w:r w:rsidRPr="008830DF">
              <w:rPr>
                <w:b/>
                <w:strike/>
                <w:lang w:val="en-GB"/>
              </w:rPr>
              <w:t xml:space="preserve"> </w:t>
            </w:r>
          </w:p>
          <w:p w14:paraId="2BBCAF55" w14:textId="77777777" w:rsidR="00A844C3" w:rsidRDefault="00A844C3" w:rsidP="001B14A3">
            <w:pPr>
              <w:pStyle w:val="ListBullet2"/>
              <w:tabs>
                <w:tab w:val="clear" w:pos="720"/>
                <w:tab w:val="num" w:pos="851"/>
              </w:tabs>
              <w:spacing w:after="120" w:line="240" w:lineRule="auto"/>
              <w:ind w:left="851" w:hanging="284"/>
              <w:rPr>
                <w:lang w:val="en-GB"/>
              </w:rPr>
            </w:pPr>
            <w:r w:rsidRPr="00B325C2">
              <w:rPr>
                <w:lang w:val="en-GB"/>
              </w:rPr>
              <w:t xml:space="preserve">The </w:t>
            </w:r>
            <w:r>
              <w:rPr>
                <w:lang w:val="en-GB"/>
              </w:rPr>
              <w:t>SBAI</w:t>
            </w:r>
            <w:r w:rsidRPr="00B325C2">
              <w:rPr>
                <w:lang w:val="en-GB"/>
              </w:rPr>
              <w:t xml:space="preserve"> acknowledges, however, that in some cases, it will not be possible in practice to achieve both independence and the required level of competence and service quality by appointing a third-party provider. </w:t>
            </w:r>
          </w:p>
          <w:p w14:paraId="009F1F02" w14:textId="77777777" w:rsidR="00A844C3" w:rsidRDefault="00A844C3" w:rsidP="001B14A3">
            <w:pPr>
              <w:pStyle w:val="ListBullet3"/>
              <w:tabs>
                <w:tab w:val="clear" w:pos="1080"/>
                <w:tab w:val="num" w:pos="1134"/>
              </w:tabs>
              <w:spacing w:after="120" w:line="240" w:lineRule="auto"/>
              <w:ind w:left="1134" w:hanging="283"/>
              <w:rPr>
                <w:lang w:val="en-GB"/>
              </w:rPr>
            </w:pPr>
            <w:r w:rsidRPr="00B325C2">
              <w:rPr>
                <w:lang w:val="en-GB"/>
              </w:rPr>
              <w:t>In such instances the manager should ensure that the internal function in charge of the calculation of the NAV and the maintenance of the accounting records are kept segregated from the portfolio management and trading divisions. Such function should be properly resourced and carried out by staff who have appropriate expertise. Th</w:t>
            </w:r>
            <w:r>
              <w:rPr>
                <w:lang w:val="en-GB"/>
              </w:rPr>
              <w:t>is</w:t>
            </w:r>
            <w:r w:rsidRPr="00B325C2">
              <w:rPr>
                <w:lang w:val="en-GB"/>
              </w:rPr>
              <w:t xml:space="preserve"> function should report to senior management of the firm. </w:t>
            </w:r>
          </w:p>
          <w:p w14:paraId="73753C02" w14:textId="77777777" w:rsidR="00A844C3" w:rsidRDefault="00A844C3" w:rsidP="001B14A3">
            <w:pPr>
              <w:pStyle w:val="ListBullet3"/>
              <w:tabs>
                <w:tab w:val="clear" w:pos="1080"/>
                <w:tab w:val="num" w:pos="1134"/>
              </w:tabs>
              <w:spacing w:after="120" w:line="240" w:lineRule="auto"/>
              <w:ind w:left="1134" w:hanging="283"/>
              <w:rPr>
                <w:lang w:val="en-GB"/>
              </w:rPr>
            </w:pPr>
            <w:r w:rsidRPr="00B325C2">
              <w:rPr>
                <w:lang w:val="en-GB"/>
              </w:rPr>
              <w:t xml:space="preserve">The internal function in charge of the calculation of the NAV and the maintenance of the accounting records of the funds should be audited annually by an independent auditor. </w:t>
            </w:r>
          </w:p>
          <w:p w14:paraId="738BFFFA" w14:textId="77777777" w:rsidR="00A844C3" w:rsidRDefault="00A844C3" w:rsidP="001B14A3">
            <w:pPr>
              <w:pStyle w:val="ListBullet3"/>
              <w:numPr>
                <w:ilvl w:val="0"/>
                <w:numId w:val="0"/>
              </w:numPr>
              <w:spacing w:after="120" w:line="240" w:lineRule="auto"/>
              <w:ind w:left="567"/>
              <w:rPr>
                <w:i/>
                <w:lang w:val="en-GB"/>
              </w:rPr>
            </w:pPr>
            <w:r w:rsidRPr="00B325C2">
              <w:rPr>
                <w:i/>
                <w:lang w:val="en-GB"/>
              </w:rPr>
              <w:t>Issues in relation to the valuation process are covered separately and included in Standard</w:t>
            </w:r>
            <w:r>
              <w:rPr>
                <w:i/>
                <w:lang w:val="en-GB"/>
              </w:rPr>
              <w:t>s</w:t>
            </w:r>
            <w:r w:rsidRPr="00B325C2">
              <w:rPr>
                <w:i/>
                <w:lang w:val="en-GB"/>
              </w:rPr>
              <w:t xml:space="preserve"> 5 and 6. </w:t>
            </w:r>
          </w:p>
          <w:p w14:paraId="5CE80ABC" w14:textId="77777777" w:rsidR="00A844C3" w:rsidRDefault="00A844C3" w:rsidP="001B14A3">
            <w:pPr>
              <w:pStyle w:val="ListBullet3"/>
              <w:numPr>
                <w:ilvl w:val="0"/>
                <w:numId w:val="0"/>
              </w:numPr>
              <w:spacing w:after="120" w:line="240" w:lineRule="auto"/>
              <w:ind w:left="567" w:firstLine="11"/>
              <w:rPr>
                <w:i/>
                <w:lang w:val="en-GB"/>
              </w:rPr>
            </w:pPr>
            <w:r w:rsidRPr="00B325C2">
              <w:rPr>
                <w:i/>
                <w:lang w:val="en-GB"/>
              </w:rPr>
              <w:t>Issues in relation to due diligence of third-party service providers are also covered separately and included in Standard 19.</w:t>
            </w:r>
          </w:p>
          <w:p w14:paraId="4CF0C44F" w14:textId="77777777" w:rsidR="00A844C3" w:rsidRDefault="00A844C3" w:rsidP="001B14A3">
            <w:pPr>
              <w:pStyle w:val="ListBullet"/>
              <w:numPr>
                <w:ilvl w:val="0"/>
                <w:numId w:val="0"/>
              </w:numPr>
              <w:spacing w:after="120"/>
              <w:ind w:left="567" w:hanging="567"/>
              <w:rPr>
                <w:b/>
                <w:lang w:val="en-GB"/>
              </w:rPr>
            </w:pPr>
            <w:r>
              <w:rPr>
                <w:b/>
                <w:lang w:val="en-GB"/>
              </w:rPr>
              <w:t>17a.6 T</w:t>
            </w:r>
            <w:r w:rsidRPr="00B325C2">
              <w:rPr>
                <w:b/>
                <w:lang w:val="en-GB"/>
              </w:rPr>
              <w:t>he nature, structure and governance of these arrangements</w:t>
            </w:r>
            <w:r>
              <w:rPr>
                <w:b/>
                <w:lang w:val="en-GB"/>
              </w:rPr>
              <w:t xml:space="preserve"> should be disclosed</w:t>
            </w:r>
            <w:r w:rsidRPr="00B325C2">
              <w:rPr>
                <w:b/>
                <w:lang w:val="en-GB"/>
              </w:rPr>
              <w:t>.</w:t>
            </w:r>
          </w:p>
          <w:p w14:paraId="4BA7E7C3" w14:textId="77777777" w:rsidR="00A844C3" w:rsidRDefault="00A844C3" w:rsidP="001B14A3">
            <w:pPr>
              <w:pStyle w:val="ListBullet"/>
              <w:numPr>
                <w:ilvl w:val="0"/>
                <w:numId w:val="0"/>
              </w:numPr>
              <w:spacing w:after="120"/>
              <w:ind w:left="567"/>
              <w:rPr>
                <w:i/>
                <w:lang w:val="en-GB"/>
              </w:rPr>
            </w:pPr>
            <w:r w:rsidRPr="00B325C2">
              <w:rPr>
                <w:i/>
                <w:lang w:val="en-GB"/>
              </w:rPr>
              <w:t>Issues in relation to disclosure of third-party service providers such as administrators are also covered included in Standard 20.</w:t>
            </w:r>
          </w:p>
        </w:tc>
      </w:tr>
    </w:tbl>
    <w:p w14:paraId="78D89857" w14:textId="77777777" w:rsidR="00A844C3" w:rsidRDefault="00A844C3" w:rsidP="00A844C3">
      <w:pPr>
        <w:pStyle w:val="NoSpacing"/>
      </w:pPr>
    </w:p>
    <w:p w14:paraId="6B2AA886" w14:textId="3763559F" w:rsidR="00A844C3" w:rsidRDefault="00A844C3" w:rsidP="00A844C3">
      <w:pPr>
        <w:pStyle w:val="Heading3"/>
      </w:pPr>
      <w:r w:rsidRPr="008A302C">
        <w:t xml:space="preserve">Operational </w:t>
      </w:r>
      <w:r>
        <w:t>R</w:t>
      </w:r>
      <w:r w:rsidRPr="008A302C">
        <w:t xml:space="preserve">isk – </w:t>
      </w:r>
      <w:r>
        <w:t>T</w:t>
      </w:r>
      <w:r w:rsidRPr="008A302C">
        <w:t xml:space="preserve">rading and </w:t>
      </w:r>
      <w:r>
        <w:t>E</w:t>
      </w:r>
      <w:r w:rsidRPr="008A302C">
        <w:t>xecution</w:t>
      </w:r>
      <w:r>
        <w:t xml:space="preserve"> -</w:t>
      </w:r>
      <w:r w:rsidRPr="008A302C">
        <w:t xml:space="preserve"> Standards and Guidance [17b</w:t>
      </w:r>
      <w:r>
        <w:t>]</w:t>
      </w:r>
    </w:p>
    <w:p w14:paraId="5E8FFB03"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53A1DC3D" w14:textId="77777777" w:rsidTr="001B14A3">
        <w:tc>
          <w:tcPr>
            <w:tcW w:w="9464" w:type="dxa"/>
            <w:shd w:val="clear" w:color="auto" w:fill="F7F9FB" w:themeFill="accent1" w:themeFillTint="33"/>
          </w:tcPr>
          <w:p w14:paraId="549D964D" w14:textId="77777777" w:rsidR="00A844C3" w:rsidRDefault="00A844C3" w:rsidP="001B14A3">
            <w:pPr>
              <w:pStyle w:val="ListBullet"/>
              <w:numPr>
                <w:ilvl w:val="0"/>
                <w:numId w:val="0"/>
              </w:numPr>
              <w:spacing w:after="120"/>
              <w:ind w:left="567" w:hanging="567"/>
              <w:rPr>
                <w:b/>
                <w:lang w:val="en-GB"/>
              </w:rPr>
            </w:pPr>
            <w:r>
              <w:rPr>
                <w:b/>
                <w:noProof/>
                <w:lang w:val="en-GB" w:eastAsia="en-GB" w:bidi="ar-SA"/>
              </w:rPr>
              <mc:AlternateContent>
                <mc:Choice Requires="wps">
                  <w:drawing>
                    <wp:anchor distT="0" distB="0" distL="114300" distR="114300" simplePos="0" relativeHeight="251674624" behindDoc="1" locked="0" layoutInCell="0" allowOverlap="1" wp14:anchorId="7CBC454B" wp14:editId="5DBB4C46">
                      <wp:simplePos x="0" y="0"/>
                      <wp:positionH relativeFrom="page">
                        <wp:posOffset>2571750</wp:posOffset>
                      </wp:positionH>
                      <wp:positionV relativeFrom="paragraph">
                        <wp:posOffset>2392680</wp:posOffset>
                      </wp:positionV>
                      <wp:extent cx="0" cy="0"/>
                      <wp:effectExtent l="9525" t="11430" r="9525" b="7620"/>
                      <wp:wrapNone/>
                      <wp:docPr id="1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D65239" id="Freeform 17"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2.5pt,188.4pt,202.5pt,188.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" o:allowincell="f" filled="f" strokecolor="#000750" strokeweight=".5pt">
                      <v:path arrowok="t" o:connecttype="custom" o:connectlocs="0,0;0,0" o:connectangles="0,0"/>
                      <w10:wrap anchorx="page"/>
                    </v:polyline>
                  </w:pict>
                </mc:Fallback>
              </mc:AlternateContent>
            </w:r>
            <w:r>
              <w:rPr>
                <w:b/>
                <w:lang w:val="en-GB"/>
              </w:rPr>
              <w:t xml:space="preserve">17b.1 </w:t>
            </w:r>
            <w:r w:rsidRPr="00B325C2">
              <w:rPr>
                <w:b/>
                <w:lang w:val="en-GB"/>
              </w:rPr>
              <w:t xml:space="preserve">To prevent trading and execution failures, </w:t>
            </w:r>
            <w:r>
              <w:rPr>
                <w:b/>
                <w:lang w:val="en-GB"/>
              </w:rPr>
              <w:t>a fund manager</w:t>
            </w:r>
            <w:r w:rsidRPr="00B325C2">
              <w:rPr>
                <w:b/>
                <w:lang w:val="en-GB"/>
              </w:rPr>
              <w:t xml:space="preserve"> should put effective trading and counterparty procedures in place.</w:t>
            </w:r>
          </w:p>
          <w:p w14:paraId="3C9BFD9C" w14:textId="77777777" w:rsidR="00A844C3" w:rsidRDefault="00A844C3" w:rsidP="001B14A3">
            <w:pPr>
              <w:pStyle w:val="ListBullet"/>
              <w:numPr>
                <w:ilvl w:val="0"/>
                <w:numId w:val="0"/>
              </w:numPr>
              <w:spacing w:after="120" w:line="240" w:lineRule="auto"/>
              <w:ind w:firstLine="567"/>
              <w:rPr>
                <w:lang w:val="en-GB"/>
              </w:rPr>
            </w:pPr>
            <w:r w:rsidRPr="00B325C2">
              <w:rPr>
                <w:lang w:val="en-GB"/>
              </w:rPr>
              <w:lastRenderedPageBreak/>
              <w:tab/>
              <w:t>This might include the following aspects:</w:t>
            </w:r>
          </w:p>
          <w:p w14:paraId="475D2A41" w14:textId="586E0E8B" w:rsidR="00A844C3" w:rsidRDefault="00A844C3" w:rsidP="001B14A3">
            <w:pPr>
              <w:pStyle w:val="ListBullet2"/>
              <w:tabs>
                <w:tab w:val="clear" w:pos="720"/>
                <w:tab w:val="num" w:pos="851"/>
              </w:tabs>
              <w:spacing w:after="120" w:line="240" w:lineRule="auto"/>
              <w:ind w:left="851" w:hanging="142"/>
              <w:rPr>
                <w:lang w:val="en-GB"/>
              </w:rPr>
            </w:pPr>
            <w:r>
              <w:rPr>
                <w:lang w:val="en-GB"/>
              </w:rPr>
              <w:t>E</w:t>
            </w:r>
            <w:r w:rsidRPr="00B325C2">
              <w:rPr>
                <w:lang w:val="en-GB"/>
              </w:rPr>
              <w:t>ntering into master agreements with trading counterparties</w:t>
            </w:r>
            <w:r>
              <w:rPr>
                <w:lang w:val="en-GB"/>
              </w:rPr>
              <w:t>,</w:t>
            </w:r>
          </w:p>
          <w:p w14:paraId="5C2ADE9F" w14:textId="4C86C3BB" w:rsidR="00A844C3" w:rsidRDefault="00A844C3" w:rsidP="001B14A3">
            <w:pPr>
              <w:pStyle w:val="ListBullet2"/>
              <w:tabs>
                <w:tab w:val="clear" w:pos="720"/>
                <w:tab w:val="num" w:pos="851"/>
              </w:tabs>
              <w:spacing w:after="120" w:line="240" w:lineRule="auto"/>
              <w:ind w:left="851" w:hanging="142"/>
              <w:rPr>
                <w:lang w:val="en-GB"/>
              </w:rPr>
            </w:pPr>
            <w:r>
              <w:rPr>
                <w:lang w:val="en-GB"/>
              </w:rPr>
              <w:t>A</w:t>
            </w:r>
            <w:r w:rsidRPr="00B325C2">
              <w:rPr>
                <w:lang w:val="en-GB"/>
              </w:rPr>
              <w:t>greeing well defined termination and collateral policies</w:t>
            </w:r>
            <w:r>
              <w:rPr>
                <w:lang w:val="en-GB"/>
              </w:rPr>
              <w:t>,</w:t>
            </w:r>
          </w:p>
          <w:p w14:paraId="73AB5FE3" w14:textId="6F194A76" w:rsidR="00A844C3" w:rsidRDefault="00A844C3" w:rsidP="001B14A3">
            <w:pPr>
              <w:pStyle w:val="ListBullet2"/>
              <w:tabs>
                <w:tab w:val="clear" w:pos="720"/>
                <w:tab w:val="num" w:pos="851"/>
              </w:tabs>
              <w:spacing w:after="120" w:line="240" w:lineRule="auto"/>
              <w:ind w:left="851" w:hanging="142"/>
              <w:rPr>
                <w:lang w:val="en-GB"/>
              </w:rPr>
            </w:pPr>
            <w:r>
              <w:rPr>
                <w:lang w:val="en-GB"/>
              </w:rPr>
              <w:t>T</w:t>
            </w:r>
            <w:r w:rsidRPr="00B325C2">
              <w:rPr>
                <w:lang w:val="en-GB"/>
              </w:rPr>
              <w:t>racking changes in key provisions of any agreements with trading counterparties</w:t>
            </w:r>
            <w:r>
              <w:rPr>
                <w:lang w:val="en-GB"/>
              </w:rPr>
              <w:t>,</w:t>
            </w:r>
            <w:r w:rsidRPr="00B325C2">
              <w:rPr>
                <w:lang w:val="en-GB"/>
              </w:rPr>
              <w:t xml:space="preserve"> and</w:t>
            </w:r>
          </w:p>
          <w:p w14:paraId="108A7769" w14:textId="6869FA98" w:rsidR="00A844C3" w:rsidRDefault="009B07AE" w:rsidP="001B14A3">
            <w:pPr>
              <w:pStyle w:val="ListBullet2"/>
              <w:tabs>
                <w:tab w:val="clear" w:pos="720"/>
                <w:tab w:val="num" w:pos="851"/>
              </w:tabs>
              <w:spacing w:after="120" w:line="240" w:lineRule="auto"/>
              <w:ind w:left="851" w:hanging="142"/>
              <w:rPr>
                <w:lang w:val="en-GB"/>
              </w:rPr>
            </w:pPr>
            <w:r>
              <w:rPr>
                <w:lang w:val="en-GB"/>
              </w:rPr>
              <w:t>A</w:t>
            </w:r>
            <w:r w:rsidR="00A844C3" w:rsidRPr="00B325C2">
              <w:rPr>
                <w:lang w:val="en-GB"/>
              </w:rPr>
              <w:t xml:space="preserve"> robust trade confirmation and reconciliation process including, amongst other things:</w:t>
            </w:r>
          </w:p>
          <w:p w14:paraId="2B13B902" w14:textId="027CF629" w:rsidR="00A844C3" w:rsidRDefault="009B07AE" w:rsidP="001B14A3">
            <w:pPr>
              <w:pStyle w:val="ListBullet3"/>
              <w:tabs>
                <w:tab w:val="clear" w:pos="1080"/>
                <w:tab w:val="num" w:pos="1276"/>
              </w:tabs>
              <w:spacing w:after="120" w:line="240" w:lineRule="auto"/>
              <w:ind w:left="1276" w:hanging="142"/>
              <w:rPr>
                <w:lang w:val="en-GB"/>
              </w:rPr>
            </w:pPr>
            <w:r>
              <w:rPr>
                <w:lang w:val="en-GB"/>
              </w:rPr>
              <w:t>S</w:t>
            </w:r>
            <w:r w:rsidR="00A844C3" w:rsidRPr="00B325C2">
              <w:rPr>
                <w:lang w:val="en-GB"/>
              </w:rPr>
              <w:t>ufficient back and middle-office capacity to handle trading volumes</w:t>
            </w:r>
            <w:r>
              <w:rPr>
                <w:lang w:val="en-GB"/>
              </w:rPr>
              <w:t>,</w:t>
            </w:r>
          </w:p>
          <w:p w14:paraId="2EAD4E9B" w14:textId="5785D1A6" w:rsidR="00A844C3" w:rsidRDefault="009B07AE" w:rsidP="001B14A3">
            <w:pPr>
              <w:pStyle w:val="ListBullet3"/>
              <w:tabs>
                <w:tab w:val="clear" w:pos="1080"/>
                <w:tab w:val="num" w:pos="1276"/>
              </w:tabs>
              <w:spacing w:after="120" w:line="240" w:lineRule="auto"/>
              <w:ind w:left="1276" w:hanging="142"/>
              <w:rPr>
                <w:lang w:val="en-GB"/>
              </w:rPr>
            </w:pPr>
            <w:r>
              <w:rPr>
                <w:lang w:val="en-GB"/>
              </w:rPr>
              <w:t>D</w:t>
            </w:r>
            <w:r w:rsidR="00A844C3" w:rsidRPr="00B325C2">
              <w:rPr>
                <w:lang w:val="en-GB"/>
              </w:rPr>
              <w:t>aily confirmation of trades and positions</w:t>
            </w:r>
            <w:r>
              <w:rPr>
                <w:lang w:val="en-GB"/>
              </w:rPr>
              <w:t>,</w:t>
            </w:r>
          </w:p>
          <w:p w14:paraId="49AD51B9" w14:textId="4D27242C" w:rsidR="00A844C3" w:rsidRDefault="009B07AE" w:rsidP="001B14A3">
            <w:pPr>
              <w:pStyle w:val="ListBullet3"/>
              <w:tabs>
                <w:tab w:val="clear" w:pos="1080"/>
                <w:tab w:val="num" w:pos="1276"/>
              </w:tabs>
              <w:spacing w:after="120" w:line="240" w:lineRule="auto"/>
              <w:ind w:left="1276" w:hanging="142"/>
              <w:rPr>
                <w:lang w:val="en-GB"/>
              </w:rPr>
            </w:pPr>
            <w:r>
              <w:rPr>
                <w:lang w:val="en-GB"/>
              </w:rPr>
              <w:t>U</w:t>
            </w:r>
            <w:r w:rsidR="00A844C3" w:rsidRPr="00B325C2">
              <w:rPr>
                <w:lang w:val="en-GB"/>
              </w:rPr>
              <w:t>se of electronic matching and confirmation systems (depending on the scale of the manager - smaller managers and managers with low trading volumes may rely to a larger extent on manual handling)</w:t>
            </w:r>
            <w:r>
              <w:rPr>
                <w:lang w:val="en-GB"/>
              </w:rPr>
              <w:t>,</w:t>
            </w:r>
          </w:p>
          <w:p w14:paraId="1924EFA4" w14:textId="74B2302A" w:rsidR="00A844C3" w:rsidRDefault="009B07AE" w:rsidP="001B14A3">
            <w:pPr>
              <w:pStyle w:val="ListBullet3"/>
              <w:tabs>
                <w:tab w:val="clear" w:pos="1080"/>
                <w:tab w:val="num" w:pos="1276"/>
              </w:tabs>
              <w:spacing w:after="120" w:line="240" w:lineRule="auto"/>
              <w:ind w:left="1276" w:hanging="142"/>
              <w:rPr>
                <w:lang w:val="en-GB"/>
              </w:rPr>
            </w:pPr>
            <w:r>
              <w:rPr>
                <w:lang w:val="en-GB"/>
              </w:rPr>
              <w:t>T</w:t>
            </w:r>
            <w:r w:rsidR="00A844C3" w:rsidRPr="00B325C2">
              <w:rPr>
                <w:lang w:val="en-GB"/>
              </w:rPr>
              <w:t>imely reconciliation of complex over-the-counter trades and loans</w:t>
            </w:r>
            <w:r>
              <w:rPr>
                <w:lang w:val="en-GB"/>
              </w:rPr>
              <w:t>,</w:t>
            </w:r>
            <w:r w:rsidR="00A844C3" w:rsidRPr="00B325C2">
              <w:rPr>
                <w:lang w:val="en-GB"/>
              </w:rPr>
              <w:t xml:space="preserve"> and</w:t>
            </w:r>
          </w:p>
          <w:p w14:paraId="390A1A5B" w14:textId="4B60F233" w:rsidR="00A844C3" w:rsidRDefault="009B07AE" w:rsidP="001B14A3">
            <w:pPr>
              <w:pStyle w:val="ListBullet3"/>
              <w:tabs>
                <w:tab w:val="clear" w:pos="1080"/>
                <w:tab w:val="num" w:pos="1276"/>
              </w:tabs>
              <w:spacing w:after="120" w:line="240" w:lineRule="auto"/>
              <w:ind w:left="1276" w:hanging="142"/>
              <w:rPr>
                <w:lang w:val="en-GB"/>
              </w:rPr>
            </w:pPr>
            <w:r>
              <w:rPr>
                <w:lang w:val="en-GB"/>
              </w:rPr>
              <w:t>M</w:t>
            </w:r>
            <w:r w:rsidR="00A844C3" w:rsidRPr="00B325C2">
              <w:rPr>
                <w:lang w:val="en-GB"/>
              </w:rPr>
              <w:t>onitoring of corporate action events (e.g., voting, splits, spin-offs) on long and short equity derivative instruments and applying the events to fund accounts.</w:t>
            </w:r>
          </w:p>
        </w:tc>
      </w:tr>
    </w:tbl>
    <w:p w14:paraId="038AFF6F" w14:textId="77777777" w:rsidR="00A844C3" w:rsidRDefault="00A844C3" w:rsidP="00A844C3">
      <w:pPr>
        <w:spacing w:after="0"/>
      </w:pPr>
    </w:p>
    <w:p w14:paraId="0675EEB0" w14:textId="77777777" w:rsidR="00A844C3" w:rsidRDefault="00A844C3" w:rsidP="00A844C3">
      <w:pPr>
        <w:pStyle w:val="Heading3"/>
        <w:spacing w:before="0"/>
        <w:rPr>
          <w:rFonts w:ascii="Times New Roman" w:hAnsi="Times New Roman"/>
        </w:rPr>
      </w:pPr>
      <w:r w:rsidRPr="008A302C">
        <w:rPr>
          <w:rFonts w:ascii="Times New Roman" w:hAnsi="Times New Roman"/>
        </w:rPr>
        <w:t xml:space="preserve">Operational </w:t>
      </w:r>
      <w:r>
        <w:rPr>
          <w:rFonts w:ascii="Times New Roman" w:hAnsi="Times New Roman"/>
        </w:rPr>
        <w:t>R</w:t>
      </w:r>
      <w:r w:rsidRPr="008A302C">
        <w:rPr>
          <w:rFonts w:ascii="Times New Roman" w:hAnsi="Times New Roman"/>
        </w:rPr>
        <w:t xml:space="preserve">isk – </w:t>
      </w:r>
      <w:r>
        <w:rPr>
          <w:rFonts w:ascii="Times New Roman" w:hAnsi="Times New Roman"/>
        </w:rPr>
        <w:t>F</w:t>
      </w:r>
      <w:r w:rsidRPr="008A302C">
        <w:rPr>
          <w:rFonts w:ascii="Times New Roman" w:hAnsi="Times New Roman"/>
        </w:rPr>
        <w:t xml:space="preserve">raud and </w:t>
      </w:r>
      <w:r>
        <w:rPr>
          <w:rFonts w:ascii="Times New Roman" w:hAnsi="Times New Roman"/>
        </w:rPr>
        <w:t>F</w:t>
      </w:r>
      <w:r w:rsidRPr="008A302C">
        <w:rPr>
          <w:rFonts w:ascii="Times New Roman" w:hAnsi="Times New Roman"/>
        </w:rPr>
        <w:t xml:space="preserve">inancial </w:t>
      </w:r>
      <w:r>
        <w:rPr>
          <w:rFonts w:ascii="Times New Roman" w:hAnsi="Times New Roman"/>
        </w:rPr>
        <w:t>C</w:t>
      </w:r>
      <w:r w:rsidRPr="008A302C">
        <w:rPr>
          <w:rFonts w:ascii="Times New Roman" w:hAnsi="Times New Roman"/>
        </w:rPr>
        <w:t xml:space="preserve">rime </w:t>
      </w:r>
      <w:r>
        <w:rPr>
          <w:rFonts w:ascii="Times New Roman" w:hAnsi="Times New Roman"/>
        </w:rPr>
        <w:t>P</w:t>
      </w:r>
      <w:r w:rsidRPr="008A302C">
        <w:rPr>
          <w:rFonts w:ascii="Times New Roman" w:hAnsi="Times New Roman"/>
        </w:rPr>
        <w:t>revention</w:t>
      </w:r>
      <w:r>
        <w:rPr>
          <w:rFonts w:ascii="Times New Roman" w:hAnsi="Times New Roman"/>
        </w:rPr>
        <w:t xml:space="preserve"> -</w:t>
      </w:r>
      <w:r w:rsidRPr="008A302C">
        <w:rPr>
          <w:rFonts w:ascii="Times New Roman" w:hAnsi="Times New Roman"/>
        </w:rPr>
        <w:t xml:space="preserve"> Standards and Guidance [17c]</w:t>
      </w:r>
    </w:p>
    <w:p w14:paraId="7552939A" w14:textId="77777777" w:rsidR="00A844C3" w:rsidRPr="00830816" w:rsidRDefault="00A844C3" w:rsidP="00A844C3">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26A877D0" w14:textId="77777777" w:rsidTr="001B14A3">
        <w:trPr>
          <w:trHeight w:val="109"/>
        </w:trPr>
        <w:tc>
          <w:tcPr>
            <w:tcW w:w="9464" w:type="dxa"/>
            <w:shd w:val="clear" w:color="auto" w:fill="F7F9FB" w:themeFill="accent1" w:themeFillTint="33"/>
          </w:tcPr>
          <w:p w14:paraId="7BF56797" w14:textId="77777777" w:rsidR="00A844C3" w:rsidRDefault="00A844C3" w:rsidP="001B14A3">
            <w:pPr>
              <w:pStyle w:val="ListBullet"/>
              <w:numPr>
                <w:ilvl w:val="0"/>
                <w:numId w:val="0"/>
              </w:numPr>
              <w:spacing w:after="120"/>
              <w:ind w:left="567" w:hanging="567"/>
              <w:rPr>
                <w:b/>
                <w:lang w:val="en-GB"/>
              </w:rPr>
            </w:pPr>
            <w:r>
              <w:rPr>
                <w:b/>
                <w:noProof/>
                <w:lang w:val="en-GB" w:eastAsia="en-GB" w:bidi="ar-SA"/>
              </w:rPr>
              <mc:AlternateContent>
                <mc:Choice Requires="wps">
                  <w:drawing>
                    <wp:anchor distT="0" distB="0" distL="114300" distR="114300" simplePos="0" relativeHeight="251675648" behindDoc="1" locked="0" layoutInCell="0" allowOverlap="1" wp14:anchorId="756A0759" wp14:editId="7FA8CD13">
                      <wp:simplePos x="0" y="0"/>
                      <wp:positionH relativeFrom="page">
                        <wp:posOffset>2315210</wp:posOffset>
                      </wp:positionH>
                      <wp:positionV relativeFrom="paragraph">
                        <wp:posOffset>2170430</wp:posOffset>
                      </wp:positionV>
                      <wp:extent cx="0" cy="0"/>
                      <wp:effectExtent l="10160" t="10795" r="8890" b="8255"/>
                      <wp:wrapNone/>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F3A1A1" id="Freeform 1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2.3pt,170.9pt,182.3pt,170.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" o:allowincell="f" filled="f" strokecolor="#000750" strokeweight=".5pt">
                      <v:path arrowok="t" o:connecttype="custom" o:connectlocs="0,0;0,0" o:connectangles="0,0"/>
                      <w10:wrap anchorx="page"/>
                    </v:polyline>
                  </w:pict>
                </mc:Fallback>
              </mc:AlternateContent>
            </w:r>
            <w:r>
              <w:rPr>
                <w:b/>
                <w:lang w:val="en-GB"/>
              </w:rPr>
              <w:t>17c.1 A fund manager</w:t>
            </w:r>
            <w:r w:rsidRPr="00B325C2">
              <w:rPr>
                <w:b/>
                <w:lang w:val="en-GB"/>
              </w:rPr>
              <w:t xml:space="preserve"> should be confident that it understands the applicable laws and regulations in the markets in which it deals and has effective systems and controls in place to enable it to identify, assess, monitor, and manage the risk that </w:t>
            </w:r>
            <w:r>
              <w:rPr>
                <w:b/>
                <w:lang w:val="en-GB"/>
              </w:rPr>
              <w:t>the fund manager might be</w:t>
            </w:r>
            <w:r w:rsidRPr="00B325C2">
              <w:rPr>
                <w:b/>
                <w:lang w:val="en-GB"/>
              </w:rPr>
              <w:t xml:space="preserve"> used to further financial crimes. </w:t>
            </w:r>
          </w:p>
          <w:p w14:paraId="1093F462" w14:textId="77777777" w:rsidR="00A844C3" w:rsidRDefault="00A844C3" w:rsidP="001B14A3">
            <w:pPr>
              <w:pStyle w:val="ListBullet"/>
              <w:numPr>
                <w:ilvl w:val="0"/>
                <w:numId w:val="0"/>
              </w:numPr>
              <w:spacing w:after="120" w:line="240" w:lineRule="auto"/>
              <w:ind w:firstLine="567"/>
              <w:rPr>
                <w:rFonts w:ascii="Arial" w:hAnsi="Arial" w:cs="Arial"/>
                <w:position w:val="-4"/>
                <w:sz w:val="24"/>
                <w:lang w:val="en-GB"/>
              </w:rPr>
            </w:pPr>
            <w:r w:rsidRPr="00B325C2">
              <w:rPr>
                <w:b/>
                <w:lang w:val="en-GB"/>
              </w:rPr>
              <w:tab/>
            </w:r>
            <w:r w:rsidRPr="00B325C2">
              <w:rPr>
                <w:lang w:val="en-GB"/>
              </w:rPr>
              <w:t>This may apply to areas such as:</w:t>
            </w:r>
          </w:p>
          <w:p w14:paraId="17131611" w14:textId="1F6059BB" w:rsidR="00A844C3" w:rsidRDefault="009B07AE" w:rsidP="001B14A3">
            <w:pPr>
              <w:pStyle w:val="ListBullet2"/>
              <w:tabs>
                <w:tab w:val="clear" w:pos="720"/>
                <w:tab w:val="num" w:pos="851"/>
              </w:tabs>
              <w:spacing w:after="120" w:line="240" w:lineRule="auto"/>
              <w:ind w:left="851" w:hanging="284"/>
              <w:rPr>
                <w:rFonts w:ascii="Arial" w:hAnsi="Arial" w:cs="Arial"/>
                <w:position w:val="-4"/>
                <w:sz w:val="24"/>
                <w:lang w:val="en-GB"/>
              </w:rPr>
            </w:pPr>
            <w:r>
              <w:rPr>
                <w:lang w:val="en-GB"/>
              </w:rPr>
              <w:t>A</w:t>
            </w:r>
            <w:r w:rsidR="00A844C3" w:rsidRPr="00B325C2">
              <w:rPr>
                <w:lang w:val="en-GB"/>
              </w:rPr>
              <w:t>nti-money laundering procedures (although typically the fund's administrator will be responsible for compliance)</w:t>
            </w:r>
            <w:r>
              <w:rPr>
                <w:lang w:val="en-GB"/>
              </w:rPr>
              <w:t>,</w:t>
            </w:r>
            <w:r w:rsidR="00A844C3">
              <w:rPr>
                <w:lang w:val="en-GB"/>
              </w:rPr>
              <w:t xml:space="preserve"> and</w:t>
            </w:r>
          </w:p>
          <w:p w14:paraId="52424212" w14:textId="7AA078AE" w:rsidR="00A844C3" w:rsidRDefault="009B07AE" w:rsidP="001B14A3">
            <w:pPr>
              <w:pStyle w:val="ListBullet2"/>
              <w:tabs>
                <w:tab w:val="clear" w:pos="720"/>
                <w:tab w:val="num" w:pos="851"/>
              </w:tabs>
              <w:spacing w:after="120" w:line="240" w:lineRule="auto"/>
              <w:ind w:left="851" w:hanging="284"/>
              <w:rPr>
                <w:rFonts w:ascii="Arial" w:hAnsi="Arial" w:cs="Arial"/>
                <w:position w:val="-4"/>
                <w:sz w:val="24"/>
                <w:lang w:val="en-GB"/>
              </w:rPr>
            </w:pPr>
            <w:r>
              <w:rPr>
                <w:lang w:val="en-GB"/>
              </w:rPr>
              <w:t>P</w:t>
            </w:r>
            <w:r w:rsidR="00A844C3" w:rsidRPr="00B325C2">
              <w:rPr>
                <w:lang w:val="en-GB"/>
              </w:rPr>
              <w:t xml:space="preserve">rocedures to prevent market abuse offences (see also Standard [23] </w:t>
            </w:r>
            <w:r w:rsidR="00A844C3" w:rsidRPr="00B325C2">
              <w:rPr>
                <w:i/>
                <w:lang w:val="en-GB"/>
              </w:rPr>
              <w:t>(Prevention of market abuse))</w:t>
            </w:r>
            <w:r w:rsidR="00A844C3">
              <w:rPr>
                <w:lang w:val="en-GB"/>
              </w:rPr>
              <w:t>.</w:t>
            </w:r>
          </w:p>
          <w:p w14:paraId="52ED99B5" w14:textId="77777777" w:rsidR="00A844C3" w:rsidRDefault="00A844C3" w:rsidP="001B14A3">
            <w:pPr>
              <w:pStyle w:val="ListBullet"/>
              <w:numPr>
                <w:ilvl w:val="0"/>
                <w:numId w:val="0"/>
              </w:numPr>
              <w:spacing w:after="120"/>
              <w:ind w:left="567" w:hanging="567"/>
              <w:rPr>
                <w:b/>
                <w:lang w:val="en-GB"/>
              </w:rPr>
            </w:pPr>
            <w:r>
              <w:rPr>
                <w:b/>
                <w:lang w:val="en-GB"/>
              </w:rPr>
              <w:t xml:space="preserve"> 17c.2 A fund manager</w:t>
            </w:r>
            <w:r w:rsidRPr="00B325C2">
              <w:rPr>
                <w:b/>
                <w:lang w:val="en-GB"/>
              </w:rPr>
              <w:t xml:space="preserve"> should appoint a compliance officer who is independent of the portfolio management function to oversee all issues relating to regulatory compliance and market and professional conduct.  If a smaller or start-up manager considers it impractical to do so,</w:t>
            </w:r>
            <w:r>
              <w:rPr>
                <w:b/>
                <w:lang w:val="en-GB"/>
              </w:rPr>
              <w:t xml:space="preserve"> this should be </w:t>
            </w:r>
            <w:r w:rsidRPr="00B325C2">
              <w:rPr>
                <w:b/>
                <w:lang w:val="en-GB"/>
              </w:rPr>
              <w:t>disclose</w:t>
            </w:r>
            <w:r>
              <w:rPr>
                <w:b/>
                <w:lang w:val="en-GB"/>
              </w:rPr>
              <w:t>d</w:t>
            </w:r>
            <w:r w:rsidRPr="00B325C2">
              <w:rPr>
                <w:b/>
                <w:lang w:val="en-GB"/>
              </w:rPr>
              <w:t xml:space="preserve"> in the fund's offering documents.</w:t>
            </w:r>
            <w:r>
              <w:rPr>
                <w:rStyle w:val="FootnoteReference"/>
                <w:b/>
                <w:lang w:val="en-GB"/>
              </w:rPr>
              <w:footnoteReference w:id="30"/>
            </w:r>
            <w:r w:rsidRPr="00B325C2">
              <w:rPr>
                <w:b/>
                <w:lang w:val="en-GB"/>
              </w:rPr>
              <w:t xml:space="preserve">  The compliance officer should report regularly to the manager’s chief executive officer or management committee or equivalent.  </w:t>
            </w:r>
            <w:r>
              <w:rPr>
                <w:b/>
                <w:lang w:val="en-GB"/>
              </w:rPr>
              <w:t>A fund manager</w:t>
            </w:r>
            <w:r w:rsidRPr="00B325C2">
              <w:rPr>
                <w:b/>
                <w:lang w:val="en-GB"/>
              </w:rPr>
              <w:t xml:space="preserve"> should provide to the fund governing body a report on regulatory compliance prepared by the compliance officer on a regular basis.</w:t>
            </w:r>
          </w:p>
          <w:p w14:paraId="002EA78C" w14:textId="42DC02B5" w:rsidR="00A844C3" w:rsidRDefault="00A844C3" w:rsidP="001B14A3">
            <w:pPr>
              <w:pStyle w:val="ListBullet"/>
              <w:numPr>
                <w:ilvl w:val="0"/>
                <w:numId w:val="0"/>
              </w:numPr>
              <w:spacing w:after="120"/>
              <w:ind w:left="567" w:hanging="567"/>
              <w:rPr>
                <w:b/>
                <w:lang w:val="en-GB"/>
              </w:rPr>
            </w:pPr>
            <w:r>
              <w:rPr>
                <w:b/>
                <w:lang w:val="en-GB"/>
              </w:rPr>
              <w:t>17c.3 Where client money is held by the manager, the fund manager should put in place strict internal controls to prevent misappropriation of such money (</w:t>
            </w:r>
            <w:r w:rsidR="009B07AE">
              <w:rPr>
                <w:b/>
                <w:lang w:val="en-GB"/>
              </w:rPr>
              <w:t>e.g.,</w:t>
            </w:r>
            <w:r>
              <w:rPr>
                <w:b/>
                <w:lang w:val="en-GB"/>
              </w:rPr>
              <w:t xml:space="preserve"> co-signing policies). </w:t>
            </w:r>
          </w:p>
          <w:p w14:paraId="18DE63D4" w14:textId="77777777" w:rsidR="00A844C3" w:rsidRPr="00830816" w:rsidRDefault="00A844C3" w:rsidP="001B14A3">
            <w:pPr>
              <w:pStyle w:val="ListBullet"/>
              <w:numPr>
                <w:ilvl w:val="0"/>
                <w:numId w:val="0"/>
              </w:numPr>
              <w:spacing w:after="120" w:line="240" w:lineRule="auto"/>
              <w:ind w:left="567"/>
              <w:rPr>
                <w:b/>
                <w:i/>
                <w:iCs/>
                <w:lang w:val="en-GB"/>
              </w:rPr>
            </w:pPr>
            <w:r w:rsidRPr="00830816">
              <w:rPr>
                <w:i/>
                <w:iCs/>
                <w:lang w:val="en-GB"/>
              </w:rPr>
              <w:t>Further guidance on this topic can be found in the SBAI’s Governance Toolbox in the Cash Handling and Cyber Security Memo</w:t>
            </w:r>
            <w:r>
              <w:rPr>
                <w:rStyle w:val="FootnoteReference"/>
                <w:i/>
                <w:iCs/>
                <w:lang w:val="en-GB"/>
              </w:rPr>
              <w:footnoteReference w:id="31"/>
            </w:r>
            <w:r w:rsidRPr="00830816">
              <w:rPr>
                <w:i/>
                <w:iCs/>
                <w:lang w:val="en-GB"/>
              </w:rPr>
              <w:t>.</w:t>
            </w:r>
          </w:p>
        </w:tc>
      </w:tr>
    </w:tbl>
    <w:p w14:paraId="53E1C85A" w14:textId="77777777" w:rsidR="009B07AE" w:rsidRDefault="009B07AE" w:rsidP="009B07AE">
      <w:pPr>
        <w:pStyle w:val="NoSpacing"/>
      </w:pPr>
    </w:p>
    <w:p w14:paraId="28092676" w14:textId="0D60C13C" w:rsidR="00A844C3" w:rsidRDefault="00A844C3" w:rsidP="00A844C3">
      <w:pPr>
        <w:pStyle w:val="Heading3"/>
      </w:pPr>
      <w:r w:rsidRPr="008A302C">
        <w:lastRenderedPageBreak/>
        <w:t xml:space="preserve">Operational </w:t>
      </w:r>
      <w:r>
        <w:t>R</w:t>
      </w:r>
      <w:r w:rsidRPr="008A302C">
        <w:t xml:space="preserve">isk – </w:t>
      </w:r>
      <w:r>
        <w:t>D</w:t>
      </w:r>
      <w:r w:rsidRPr="008A302C">
        <w:t xml:space="preserve">isaster </w:t>
      </w:r>
      <w:r>
        <w:t>R</w:t>
      </w:r>
      <w:r w:rsidRPr="008A302C">
        <w:t xml:space="preserve">ecovery </w:t>
      </w:r>
      <w:r>
        <w:t xml:space="preserve">- </w:t>
      </w:r>
      <w:r w:rsidRPr="008A302C">
        <w:t>Standards and Guidance [17d]</w:t>
      </w:r>
    </w:p>
    <w:p w14:paraId="021535E4"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0C788886" w14:textId="77777777" w:rsidTr="001B14A3">
        <w:trPr>
          <w:trHeight w:val="70"/>
        </w:trPr>
        <w:tc>
          <w:tcPr>
            <w:tcW w:w="9464" w:type="dxa"/>
            <w:shd w:val="clear" w:color="auto" w:fill="F7F9FB" w:themeFill="accent1" w:themeFillTint="33"/>
          </w:tcPr>
          <w:p w14:paraId="02C12813" w14:textId="17D00F52" w:rsidR="00A844C3" w:rsidRDefault="00A844C3" w:rsidP="001B14A3">
            <w:pPr>
              <w:pStyle w:val="ListBullet"/>
              <w:numPr>
                <w:ilvl w:val="0"/>
                <w:numId w:val="0"/>
              </w:numPr>
              <w:spacing w:after="120"/>
              <w:ind w:left="567" w:hanging="567"/>
              <w:rPr>
                <w:rFonts w:ascii="Arial Black" w:hAnsi="Arial Black" w:cs="Arial"/>
                <w:b/>
                <w:sz w:val="20"/>
                <w:lang w:val="en-GB"/>
              </w:rPr>
            </w:pPr>
            <w:r>
              <w:rPr>
                <w:b/>
                <w:lang w:val="en-GB"/>
              </w:rPr>
              <w:t>17d.1 A fund manager</w:t>
            </w:r>
            <w:r w:rsidRPr="00B325C2">
              <w:rPr>
                <w:b/>
                <w:lang w:val="en-GB"/>
              </w:rPr>
              <w:t xml:space="preserve"> should put in place measures designed to ensure that the provision of fund management services to the fund will remain possible in the event of a disaster. The level of tolerance should be agreed by the executive committee of the </w:t>
            </w:r>
            <w:r>
              <w:rPr>
                <w:b/>
                <w:lang w:val="en-GB"/>
              </w:rPr>
              <w:t>fund manager</w:t>
            </w:r>
            <w:r w:rsidRPr="00B325C2">
              <w:rPr>
                <w:b/>
                <w:lang w:val="en-GB"/>
              </w:rPr>
              <w:t xml:space="preserve"> and, where relevant, be notified to the fund governing body.  </w:t>
            </w:r>
          </w:p>
          <w:p w14:paraId="472B15E1" w14:textId="77777777" w:rsidR="00A844C3" w:rsidRDefault="00A844C3" w:rsidP="001B14A3">
            <w:pPr>
              <w:pStyle w:val="ListBullet"/>
              <w:numPr>
                <w:ilvl w:val="0"/>
                <w:numId w:val="0"/>
              </w:numPr>
              <w:spacing w:after="120" w:line="240" w:lineRule="auto"/>
              <w:ind w:left="567"/>
              <w:rPr>
                <w:rFonts w:ascii="Arial Black" w:hAnsi="Arial Black" w:cs="Arial"/>
                <w:sz w:val="20"/>
                <w:lang w:val="en-GB"/>
              </w:rPr>
            </w:pPr>
            <w:r w:rsidRPr="00B325C2">
              <w:rPr>
                <w:lang w:val="en-GB"/>
              </w:rPr>
              <w:t xml:space="preserve">Depending on the scale of the </w:t>
            </w:r>
            <w:r>
              <w:rPr>
                <w:lang w:val="en-GB"/>
              </w:rPr>
              <w:t>fund manager</w:t>
            </w:r>
            <w:r w:rsidRPr="00B325C2">
              <w:rPr>
                <w:lang w:val="en-GB"/>
              </w:rPr>
              <w:t>’s business, this could include:</w:t>
            </w:r>
          </w:p>
          <w:p w14:paraId="5AF33352" w14:textId="034B2BAD" w:rsidR="00A844C3" w:rsidRDefault="009B07AE" w:rsidP="001B14A3">
            <w:pPr>
              <w:pStyle w:val="ListBullet2"/>
              <w:tabs>
                <w:tab w:val="clear" w:pos="720"/>
                <w:tab w:val="num" w:pos="851"/>
              </w:tabs>
              <w:spacing w:after="120"/>
              <w:ind w:left="851" w:hanging="284"/>
              <w:rPr>
                <w:lang w:val="en-GB"/>
              </w:rPr>
            </w:pPr>
            <w:r>
              <w:rPr>
                <w:lang w:val="en-GB"/>
              </w:rPr>
              <w:t>A</w:t>
            </w:r>
            <w:r w:rsidR="00A844C3" w:rsidRPr="00B325C2">
              <w:rPr>
                <w:lang w:val="en-GB"/>
              </w:rPr>
              <w:t xml:space="preserve"> communication plan to contact important parties (such as senior management, prime broker, </w:t>
            </w:r>
            <w:r w:rsidRPr="00B325C2">
              <w:rPr>
                <w:lang w:val="en-GB"/>
              </w:rPr>
              <w:t>administrator,</w:t>
            </w:r>
            <w:r w:rsidR="00A844C3" w:rsidRPr="00B325C2">
              <w:rPr>
                <w:lang w:val="en-GB"/>
              </w:rPr>
              <w:t xml:space="preserve"> and regulator)</w:t>
            </w:r>
            <w:r>
              <w:rPr>
                <w:lang w:val="en-GB"/>
              </w:rPr>
              <w:t>,</w:t>
            </w:r>
          </w:p>
          <w:p w14:paraId="3F04BA23" w14:textId="5BED66FC" w:rsidR="00A844C3" w:rsidRDefault="009B07AE" w:rsidP="001B14A3">
            <w:pPr>
              <w:pStyle w:val="ListBullet2"/>
              <w:tabs>
                <w:tab w:val="clear" w:pos="720"/>
                <w:tab w:val="num" w:pos="851"/>
              </w:tabs>
              <w:spacing w:after="120"/>
              <w:ind w:left="851" w:hanging="284"/>
              <w:rPr>
                <w:lang w:val="en-GB"/>
              </w:rPr>
            </w:pPr>
            <w:r>
              <w:rPr>
                <w:lang w:val="en-GB"/>
              </w:rPr>
              <w:t>C</w:t>
            </w:r>
            <w:r w:rsidR="00A844C3" w:rsidRPr="00B325C2">
              <w:rPr>
                <w:lang w:val="en-GB"/>
              </w:rPr>
              <w:t>ontingency plans (including a succession plan to address key man risk, fall back communications router and capabilities)</w:t>
            </w:r>
            <w:r>
              <w:rPr>
                <w:lang w:val="en-GB"/>
              </w:rPr>
              <w:t>,</w:t>
            </w:r>
          </w:p>
          <w:p w14:paraId="3365B964" w14:textId="1913CC2B" w:rsidR="00A844C3" w:rsidRDefault="009B07AE" w:rsidP="001B14A3">
            <w:pPr>
              <w:pStyle w:val="ListBullet2"/>
              <w:tabs>
                <w:tab w:val="clear" w:pos="720"/>
                <w:tab w:val="num" w:pos="851"/>
              </w:tabs>
              <w:spacing w:after="120"/>
              <w:ind w:left="851" w:hanging="284"/>
              <w:rPr>
                <w:lang w:val="en-GB"/>
              </w:rPr>
            </w:pPr>
            <w:r>
              <w:rPr>
                <w:lang w:val="en-GB"/>
              </w:rPr>
              <w:t>O</w:t>
            </w:r>
            <w:r w:rsidR="00A844C3" w:rsidRPr="00B325C2">
              <w:rPr>
                <w:lang w:val="en-GB"/>
              </w:rPr>
              <w:t>ffsite data back-up facilities</w:t>
            </w:r>
            <w:r>
              <w:rPr>
                <w:lang w:val="en-GB"/>
              </w:rPr>
              <w:t>,</w:t>
            </w:r>
          </w:p>
          <w:p w14:paraId="608601A6" w14:textId="12132989" w:rsidR="00A844C3" w:rsidRDefault="009B07AE" w:rsidP="001B14A3">
            <w:pPr>
              <w:pStyle w:val="ListBullet2"/>
              <w:tabs>
                <w:tab w:val="clear" w:pos="720"/>
                <w:tab w:val="num" w:pos="851"/>
              </w:tabs>
              <w:spacing w:after="120"/>
              <w:ind w:left="851" w:hanging="284"/>
              <w:rPr>
                <w:lang w:val="en-GB"/>
              </w:rPr>
            </w:pPr>
            <w:r>
              <w:rPr>
                <w:lang w:val="en-GB"/>
              </w:rPr>
              <w:t>B</w:t>
            </w:r>
            <w:r w:rsidR="00A844C3" w:rsidRPr="00B325C2">
              <w:rPr>
                <w:lang w:val="en-GB"/>
              </w:rPr>
              <w:t xml:space="preserve">ack-up office space/infrastructure (applicable to larger </w:t>
            </w:r>
            <w:r w:rsidR="00A844C3">
              <w:rPr>
                <w:lang w:val="en-GB"/>
              </w:rPr>
              <w:t>fund manager</w:t>
            </w:r>
            <w:r w:rsidR="00A844C3" w:rsidRPr="00B325C2">
              <w:rPr>
                <w:lang w:val="en-GB"/>
              </w:rPr>
              <w:t>s)</w:t>
            </w:r>
            <w:r>
              <w:rPr>
                <w:lang w:val="en-GB"/>
              </w:rPr>
              <w:t>,</w:t>
            </w:r>
            <w:r w:rsidR="00A844C3" w:rsidRPr="00B325C2">
              <w:rPr>
                <w:lang w:val="en-GB"/>
              </w:rPr>
              <w:t xml:space="preserve"> and</w:t>
            </w:r>
          </w:p>
          <w:p w14:paraId="0FFA32B8" w14:textId="51EA662E" w:rsidR="00A844C3" w:rsidRDefault="009B07AE" w:rsidP="001B14A3">
            <w:pPr>
              <w:pStyle w:val="ListBullet2"/>
              <w:tabs>
                <w:tab w:val="clear" w:pos="720"/>
                <w:tab w:val="num" w:pos="851"/>
              </w:tabs>
              <w:spacing w:after="120"/>
              <w:ind w:left="851" w:hanging="284"/>
              <w:rPr>
                <w:lang w:val="en-GB"/>
              </w:rPr>
            </w:pPr>
            <w:r>
              <w:rPr>
                <w:lang w:val="en-GB"/>
              </w:rPr>
              <w:t>R</w:t>
            </w:r>
            <w:r w:rsidR="00A844C3" w:rsidRPr="00B325C2">
              <w:rPr>
                <w:lang w:val="en-GB"/>
              </w:rPr>
              <w:t>egular testing of procedures/processes.</w:t>
            </w:r>
          </w:p>
        </w:tc>
      </w:tr>
    </w:tbl>
    <w:p w14:paraId="57D44F27" w14:textId="77777777" w:rsidR="009B07AE" w:rsidRDefault="009B07AE" w:rsidP="009B07AE">
      <w:pPr>
        <w:pStyle w:val="NoSpacing"/>
      </w:pPr>
    </w:p>
    <w:p w14:paraId="071A41B1" w14:textId="285ECC67" w:rsidR="00A844C3" w:rsidRDefault="00A844C3" w:rsidP="00A844C3">
      <w:pPr>
        <w:pStyle w:val="Heading3"/>
      </w:pPr>
      <w:r w:rsidRPr="008A302C">
        <w:t xml:space="preserve">Operational </w:t>
      </w:r>
      <w:r>
        <w:t>R</w:t>
      </w:r>
      <w:r w:rsidRPr="008A302C">
        <w:t xml:space="preserve">isk – </w:t>
      </w:r>
      <w:r>
        <w:t>M</w:t>
      </w:r>
      <w:r w:rsidRPr="008A302C">
        <w:t xml:space="preserve">odel </w:t>
      </w:r>
      <w:r>
        <w:t>R</w:t>
      </w:r>
      <w:r w:rsidRPr="008A302C">
        <w:t>isk</w:t>
      </w:r>
      <w:r>
        <w:t xml:space="preserve"> -</w:t>
      </w:r>
      <w:r w:rsidRPr="008A302C">
        <w:t xml:space="preserve"> Standards and Guidance [17e]</w:t>
      </w:r>
    </w:p>
    <w:p w14:paraId="1556E1F2"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232B1560" w14:textId="77777777" w:rsidTr="001B14A3">
        <w:trPr>
          <w:trHeight w:val="843"/>
        </w:trPr>
        <w:tc>
          <w:tcPr>
            <w:tcW w:w="9464" w:type="dxa"/>
            <w:shd w:val="clear" w:color="auto" w:fill="F7F9FB" w:themeFill="accent1" w:themeFillTint="33"/>
          </w:tcPr>
          <w:p w14:paraId="4126AEB2" w14:textId="06ED6CCE" w:rsidR="00A844C3" w:rsidRDefault="00A844C3" w:rsidP="001B14A3">
            <w:pPr>
              <w:pStyle w:val="ListBullet"/>
              <w:numPr>
                <w:ilvl w:val="0"/>
                <w:numId w:val="0"/>
              </w:numPr>
              <w:spacing w:after="120"/>
              <w:ind w:left="567" w:hanging="567"/>
              <w:rPr>
                <w:b/>
                <w:lang w:val="en-GB"/>
              </w:rPr>
            </w:pPr>
            <w:r>
              <w:rPr>
                <w:b/>
                <w:lang w:val="en-GB"/>
              </w:rPr>
              <w:t xml:space="preserve">17e.1 </w:t>
            </w:r>
            <w:r w:rsidRPr="00B325C2">
              <w:rPr>
                <w:b/>
                <w:lang w:val="en-GB"/>
              </w:rPr>
              <w:t xml:space="preserve">As part of its operational risk management procedures, </w:t>
            </w:r>
            <w:r>
              <w:rPr>
                <w:b/>
                <w:lang w:val="en-GB"/>
              </w:rPr>
              <w:t>a fund manager</w:t>
            </w:r>
            <w:r w:rsidRPr="00B325C2">
              <w:rPr>
                <w:b/>
                <w:lang w:val="en-GB"/>
              </w:rPr>
              <w:t xml:space="preserve"> should assess any exposure to model risk annually or as dictated by events and where model risk is perceived to be material to the performance of the manager, should implement appropriate procedures to ensure that material model risks are identified and mitigated where possible. </w:t>
            </w:r>
          </w:p>
          <w:p w14:paraId="0408BBD5" w14:textId="77777777" w:rsidR="00A844C3" w:rsidRDefault="00A844C3" w:rsidP="001B14A3">
            <w:pPr>
              <w:pStyle w:val="ListBullet"/>
              <w:numPr>
                <w:ilvl w:val="0"/>
                <w:numId w:val="0"/>
              </w:numPr>
              <w:spacing w:after="120" w:line="240" w:lineRule="auto"/>
              <w:ind w:left="567"/>
              <w:rPr>
                <w:lang w:val="en-GB"/>
              </w:rPr>
            </w:pPr>
            <w:r w:rsidRPr="00B325C2">
              <w:rPr>
                <w:b/>
                <w:lang w:val="en-GB"/>
              </w:rPr>
              <w:tab/>
            </w:r>
            <w:r w:rsidRPr="00B325C2">
              <w:rPr>
                <w:lang w:val="en-GB"/>
              </w:rPr>
              <w:t>Such procedures might include:</w:t>
            </w:r>
          </w:p>
          <w:p w14:paraId="5E1A93B3" w14:textId="7FF0B9D8" w:rsidR="00A844C3" w:rsidRDefault="00875D57" w:rsidP="001B14A3">
            <w:pPr>
              <w:pStyle w:val="ListBullet2"/>
              <w:tabs>
                <w:tab w:val="clear" w:pos="720"/>
                <w:tab w:val="num" w:pos="851"/>
              </w:tabs>
              <w:spacing w:after="120" w:line="240" w:lineRule="auto"/>
              <w:ind w:left="851" w:hanging="284"/>
              <w:rPr>
                <w:lang w:val="en-GB"/>
              </w:rPr>
            </w:pPr>
            <w:r>
              <w:rPr>
                <w:lang w:val="en-GB"/>
              </w:rPr>
              <w:t>E</w:t>
            </w:r>
            <w:r w:rsidR="00A844C3" w:rsidRPr="00B325C2">
              <w:rPr>
                <w:lang w:val="en-GB"/>
              </w:rPr>
              <w:t>valuation of model risk in the model selection process</w:t>
            </w:r>
            <w:r>
              <w:rPr>
                <w:lang w:val="en-GB"/>
              </w:rPr>
              <w:t>,</w:t>
            </w:r>
          </w:p>
          <w:p w14:paraId="3CA11225" w14:textId="7908E5C7" w:rsidR="00A844C3" w:rsidRDefault="00875D57" w:rsidP="001B14A3">
            <w:pPr>
              <w:pStyle w:val="ListBullet2"/>
              <w:tabs>
                <w:tab w:val="clear" w:pos="720"/>
                <w:tab w:val="num" w:pos="851"/>
              </w:tabs>
              <w:spacing w:after="120" w:line="240" w:lineRule="auto"/>
              <w:ind w:left="851" w:hanging="284"/>
              <w:rPr>
                <w:lang w:val="en-GB"/>
              </w:rPr>
            </w:pPr>
            <w:r>
              <w:rPr>
                <w:lang w:val="en-GB"/>
              </w:rPr>
              <w:t>F</w:t>
            </w:r>
            <w:r w:rsidR="00A844C3" w:rsidRPr="00B325C2">
              <w:rPr>
                <w:lang w:val="en-GB"/>
              </w:rPr>
              <w:t xml:space="preserve">requent review of models, including parameterisation, calibration, </w:t>
            </w:r>
            <w:r w:rsidR="00741426" w:rsidRPr="00B325C2">
              <w:rPr>
                <w:lang w:val="en-GB"/>
              </w:rPr>
              <w:t>assumptions,</w:t>
            </w:r>
            <w:r w:rsidR="00A844C3" w:rsidRPr="00B325C2">
              <w:rPr>
                <w:lang w:val="en-GB"/>
              </w:rPr>
              <w:t xml:space="preserve"> and data integrity</w:t>
            </w:r>
            <w:r>
              <w:rPr>
                <w:lang w:val="en-GB"/>
              </w:rPr>
              <w:t>,</w:t>
            </w:r>
          </w:p>
          <w:p w14:paraId="0A41E04C" w14:textId="4C81C0F9" w:rsidR="00A844C3" w:rsidRDefault="00875D57" w:rsidP="001B14A3">
            <w:pPr>
              <w:pStyle w:val="ListBullet2"/>
              <w:tabs>
                <w:tab w:val="clear" w:pos="720"/>
                <w:tab w:val="num" w:pos="851"/>
              </w:tabs>
              <w:spacing w:after="120" w:line="240" w:lineRule="auto"/>
              <w:ind w:left="851" w:hanging="284"/>
              <w:rPr>
                <w:lang w:val="en-GB"/>
              </w:rPr>
            </w:pPr>
            <w:r>
              <w:rPr>
                <w:lang w:val="en-GB"/>
              </w:rPr>
              <w:t>S</w:t>
            </w:r>
            <w:r w:rsidR="00A844C3" w:rsidRPr="00B325C2">
              <w:rPr>
                <w:lang w:val="en-GB"/>
              </w:rPr>
              <w:t>tress testing of assumptions</w:t>
            </w:r>
            <w:r>
              <w:rPr>
                <w:lang w:val="en-GB"/>
              </w:rPr>
              <w:t>,</w:t>
            </w:r>
          </w:p>
          <w:p w14:paraId="1C4688B2" w14:textId="5BDF697B" w:rsidR="00A844C3" w:rsidRDefault="00875D57" w:rsidP="001B14A3">
            <w:pPr>
              <w:pStyle w:val="ListBullet2"/>
              <w:tabs>
                <w:tab w:val="clear" w:pos="720"/>
                <w:tab w:val="num" w:pos="851"/>
              </w:tabs>
              <w:spacing w:after="120" w:line="240" w:lineRule="auto"/>
              <w:ind w:left="851" w:hanging="284"/>
              <w:rPr>
                <w:lang w:val="en-GB"/>
              </w:rPr>
            </w:pPr>
            <w:r>
              <w:rPr>
                <w:lang w:val="en-GB"/>
              </w:rPr>
              <w:t>S</w:t>
            </w:r>
            <w:r w:rsidR="00A844C3" w:rsidRPr="00B325C2">
              <w:rPr>
                <w:lang w:val="en-GB"/>
              </w:rPr>
              <w:t>ign-off and documentation of management overrides (overrides can become necessary when models produce unreasonable results so that human intervention becomes necessary, but such overrides need to be governed carefully)</w:t>
            </w:r>
            <w:r>
              <w:rPr>
                <w:lang w:val="en-GB"/>
              </w:rPr>
              <w:t>,</w:t>
            </w:r>
          </w:p>
          <w:p w14:paraId="58F6DA45" w14:textId="2B57637F" w:rsidR="00A844C3" w:rsidRDefault="00875D57" w:rsidP="001B14A3">
            <w:pPr>
              <w:pStyle w:val="ListBullet2"/>
              <w:tabs>
                <w:tab w:val="clear" w:pos="720"/>
                <w:tab w:val="num" w:pos="851"/>
              </w:tabs>
              <w:spacing w:after="120" w:line="240" w:lineRule="auto"/>
              <w:ind w:left="851" w:hanging="284"/>
              <w:rPr>
                <w:lang w:val="en-GB"/>
              </w:rPr>
            </w:pPr>
            <w:r>
              <w:rPr>
                <w:lang w:val="en-GB"/>
              </w:rPr>
              <w:t>D</w:t>
            </w:r>
            <w:r w:rsidR="00A844C3" w:rsidRPr="00B325C2">
              <w:rPr>
                <w:lang w:val="en-GB"/>
              </w:rPr>
              <w:t>ocumentation of models to avoid key man risk</w:t>
            </w:r>
            <w:r>
              <w:rPr>
                <w:lang w:val="en-GB"/>
              </w:rPr>
              <w:t>,</w:t>
            </w:r>
            <w:r w:rsidR="00A844C3" w:rsidRPr="00B325C2">
              <w:rPr>
                <w:lang w:val="en-GB"/>
              </w:rPr>
              <w:t xml:space="preserve"> and</w:t>
            </w:r>
          </w:p>
          <w:p w14:paraId="11207F75" w14:textId="16BBE4B5" w:rsidR="00A844C3" w:rsidRDefault="00875D57" w:rsidP="001B14A3">
            <w:pPr>
              <w:pStyle w:val="ListBullet2"/>
              <w:tabs>
                <w:tab w:val="clear" w:pos="720"/>
                <w:tab w:val="num" w:pos="851"/>
              </w:tabs>
              <w:spacing w:after="120" w:line="240" w:lineRule="auto"/>
              <w:ind w:left="851" w:hanging="284"/>
              <w:rPr>
                <w:lang w:val="en-GB"/>
              </w:rPr>
            </w:pPr>
            <w:r>
              <w:rPr>
                <w:lang w:val="en-GB"/>
              </w:rPr>
              <w:t>S</w:t>
            </w:r>
            <w:r w:rsidR="00A844C3" w:rsidRPr="00B325C2">
              <w:rPr>
                <w:lang w:val="en-GB"/>
              </w:rPr>
              <w:t>ecurity of algorithm and source code (back-up).</w:t>
            </w:r>
          </w:p>
          <w:p w14:paraId="26C65EAF" w14:textId="77777777" w:rsidR="00A844C3" w:rsidRPr="00504CFA" w:rsidRDefault="00A844C3" w:rsidP="001B14A3">
            <w:pPr>
              <w:pStyle w:val="ListBullet2"/>
              <w:numPr>
                <w:ilvl w:val="0"/>
                <w:numId w:val="0"/>
              </w:numPr>
              <w:spacing w:after="120" w:line="240" w:lineRule="auto"/>
              <w:ind w:left="567"/>
              <w:rPr>
                <w:i/>
                <w:iCs/>
                <w:lang w:val="en-GB"/>
              </w:rPr>
            </w:pPr>
            <w:r w:rsidRPr="00504CFA">
              <w:rPr>
                <w:i/>
                <w:iCs/>
                <w:lang w:val="en-GB"/>
              </w:rPr>
              <w:t>Further guidance on this topic can be found in the SBAI’s Alternative Risk Premia Toolbox in the Back-testing Memo</w:t>
            </w:r>
            <w:r>
              <w:rPr>
                <w:rStyle w:val="FootnoteReference"/>
                <w:i/>
                <w:iCs/>
                <w:lang w:val="en-GB"/>
              </w:rPr>
              <w:footnoteReference w:id="32"/>
            </w:r>
            <w:r w:rsidRPr="00504CFA">
              <w:rPr>
                <w:i/>
                <w:iCs/>
                <w:lang w:val="en-GB"/>
              </w:rPr>
              <w:t>.</w:t>
            </w:r>
          </w:p>
        </w:tc>
      </w:tr>
    </w:tbl>
    <w:p w14:paraId="0F1B0FB6" w14:textId="77777777" w:rsidR="00875D57" w:rsidRDefault="00875D57" w:rsidP="00875D57">
      <w:pPr>
        <w:spacing w:after="0"/>
      </w:pPr>
    </w:p>
    <w:p w14:paraId="46DFC763" w14:textId="4141A9C7" w:rsidR="00A844C3" w:rsidRDefault="00A844C3" w:rsidP="00A844C3">
      <w:pPr>
        <w:pStyle w:val="Heading3"/>
      </w:pPr>
      <w:r w:rsidRPr="008A302C">
        <w:t xml:space="preserve">Operational </w:t>
      </w:r>
      <w:r>
        <w:t>R</w:t>
      </w:r>
      <w:r w:rsidRPr="008A302C">
        <w:t xml:space="preserve">isk – IT </w:t>
      </w:r>
      <w:r>
        <w:t>S</w:t>
      </w:r>
      <w:r w:rsidRPr="008A302C">
        <w:t>ecurity</w:t>
      </w:r>
      <w:r>
        <w:t xml:space="preserve"> -</w:t>
      </w:r>
      <w:r w:rsidRPr="008A302C">
        <w:t xml:space="preserve"> Standards and Guidance [17f]</w:t>
      </w:r>
    </w:p>
    <w:p w14:paraId="11F0EDB2"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12723E24" w14:textId="77777777" w:rsidTr="001B14A3">
        <w:trPr>
          <w:trHeight w:val="926"/>
        </w:trPr>
        <w:tc>
          <w:tcPr>
            <w:tcW w:w="9464" w:type="dxa"/>
            <w:shd w:val="clear" w:color="auto" w:fill="F7F9FB" w:themeFill="accent1" w:themeFillTint="33"/>
          </w:tcPr>
          <w:p w14:paraId="62DB7923" w14:textId="1C36797C" w:rsidR="00A844C3" w:rsidRDefault="00A844C3" w:rsidP="001B14A3">
            <w:pPr>
              <w:pStyle w:val="ListBullet"/>
              <w:numPr>
                <w:ilvl w:val="0"/>
                <w:numId w:val="0"/>
              </w:numPr>
              <w:ind w:left="567" w:hanging="567"/>
              <w:rPr>
                <w:b/>
                <w:lang w:val="en-GB"/>
              </w:rPr>
            </w:pPr>
            <w:r>
              <w:rPr>
                <w:b/>
                <w:lang w:val="en-GB"/>
              </w:rPr>
              <w:lastRenderedPageBreak/>
              <w:t>17f.1 A fund manager</w:t>
            </w:r>
            <w:r w:rsidRPr="00B325C2">
              <w:rPr>
                <w:b/>
                <w:lang w:val="en-GB"/>
              </w:rPr>
              <w:t xml:space="preserve"> should ensure security and integrity of systems and data. </w:t>
            </w:r>
          </w:p>
          <w:p w14:paraId="18C32BC1" w14:textId="77777777" w:rsidR="00A844C3" w:rsidRDefault="00A844C3" w:rsidP="001B14A3">
            <w:pPr>
              <w:pStyle w:val="ListBullet"/>
              <w:numPr>
                <w:ilvl w:val="0"/>
                <w:numId w:val="0"/>
              </w:numPr>
              <w:ind w:left="567"/>
              <w:rPr>
                <w:b/>
                <w:lang w:val="en-GB"/>
              </w:rPr>
            </w:pPr>
            <w:r w:rsidRPr="00B325C2">
              <w:rPr>
                <w:lang w:val="en-GB"/>
              </w:rPr>
              <w:t>Depending on the scale of the manager, this could include</w:t>
            </w:r>
            <w:r w:rsidRPr="00B325C2">
              <w:rPr>
                <w:b/>
                <w:lang w:val="en-GB"/>
              </w:rPr>
              <w:t xml:space="preserve"> </w:t>
            </w:r>
            <w:r w:rsidRPr="00B325C2">
              <w:rPr>
                <w:lang w:val="en-GB"/>
              </w:rPr>
              <w:t>system testing, offsite IT and data back-up, disaster recovery procedures and supervision of contract IT resources.</w:t>
            </w:r>
          </w:p>
        </w:tc>
      </w:tr>
    </w:tbl>
    <w:p w14:paraId="3F732D69" w14:textId="6DC18D3B" w:rsidR="00875D57" w:rsidRDefault="00875D57" w:rsidP="00875D57">
      <w:pPr>
        <w:spacing w:after="0"/>
      </w:pPr>
    </w:p>
    <w:p w14:paraId="3553F2AA" w14:textId="709142B0" w:rsidR="00193A0D" w:rsidRDefault="00193A0D" w:rsidP="00875D57">
      <w:pPr>
        <w:spacing w:after="0"/>
      </w:pPr>
    </w:p>
    <w:p w14:paraId="0FB85F77" w14:textId="2F32FFB8" w:rsidR="00193A0D" w:rsidRDefault="00193A0D" w:rsidP="00875D57">
      <w:pPr>
        <w:spacing w:after="0"/>
      </w:pPr>
    </w:p>
    <w:p w14:paraId="5289051E" w14:textId="77777777" w:rsidR="00193A0D" w:rsidRDefault="00193A0D" w:rsidP="00875D57">
      <w:pPr>
        <w:spacing w:after="0"/>
      </w:pPr>
    </w:p>
    <w:p w14:paraId="43C6B94E" w14:textId="70DF3EA5" w:rsidR="00A844C3" w:rsidRDefault="00A844C3" w:rsidP="00A844C3">
      <w:pPr>
        <w:pStyle w:val="Heading3"/>
      </w:pPr>
      <w:r w:rsidRPr="008A302C">
        <w:t xml:space="preserve">Operational </w:t>
      </w:r>
      <w:r>
        <w:t>R</w:t>
      </w:r>
      <w:r w:rsidRPr="008A302C">
        <w:t xml:space="preserve">isk – </w:t>
      </w:r>
      <w:r>
        <w:t>L</w:t>
      </w:r>
      <w:r w:rsidRPr="008A302C">
        <w:t xml:space="preserve">egal and </w:t>
      </w:r>
      <w:r>
        <w:t>R</w:t>
      </w:r>
      <w:r w:rsidRPr="008A302C">
        <w:t xml:space="preserve">egulatory </w:t>
      </w:r>
      <w:r>
        <w:t>R</w:t>
      </w:r>
      <w:r w:rsidRPr="008A302C">
        <w:t>isk</w:t>
      </w:r>
      <w:r>
        <w:t xml:space="preserve"> -</w:t>
      </w:r>
      <w:r w:rsidRPr="008A302C">
        <w:t xml:space="preserve"> Standards and Guidance [17g]</w:t>
      </w:r>
    </w:p>
    <w:p w14:paraId="39BFB117"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45631CC3" w14:textId="77777777" w:rsidTr="001B14A3">
        <w:trPr>
          <w:trHeight w:val="926"/>
        </w:trPr>
        <w:tc>
          <w:tcPr>
            <w:tcW w:w="9464" w:type="dxa"/>
            <w:shd w:val="clear" w:color="auto" w:fill="F7F9FB" w:themeFill="accent1" w:themeFillTint="33"/>
          </w:tcPr>
          <w:p w14:paraId="09F98B56" w14:textId="6DCB356D" w:rsidR="00A844C3" w:rsidRDefault="00A844C3" w:rsidP="001B14A3">
            <w:pPr>
              <w:pStyle w:val="ListBullet"/>
              <w:numPr>
                <w:ilvl w:val="0"/>
                <w:numId w:val="0"/>
              </w:numPr>
              <w:spacing w:after="120"/>
              <w:ind w:left="567" w:hanging="567"/>
              <w:rPr>
                <w:b/>
                <w:lang w:val="en-GB"/>
              </w:rPr>
            </w:pPr>
            <w:r>
              <w:rPr>
                <w:b/>
                <w:lang w:val="en-GB"/>
              </w:rPr>
              <w:t xml:space="preserve">17g.1 A fund manager </w:t>
            </w:r>
            <w:r w:rsidRPr="00B325C2">
              <w:rPr>
                <w:b/>
                <w:lang w:val="en-GB"/>
              </w:rPr>
              <w:t xml:space="preserve">should ensure that it understands local conduct of business rules and regulations which apply in the jurisdictions in which it operates (including any rules governing the passporting of regulatory authorisations from one jurisdiction to another).  </w:t>
            </w:r>
            <w:r>
              <w:rPr>
                <w:b/>
                <w:lang w:val="en-GB"/>
              </w:rPr>
              <w:t>A fund manager</w:t>
            </w:r>
            <w:r w:rsidRPr="00B325C2">
              <w:rPr>
                <w:b/>
                <w:lang w:val="en-GB"/>
              </w:rPr>
              <w:t xml:space="preserve"> should also ensure that it understands laws and regulations relevant to the securities in which it trades (e.g., shareholding disclosure requirements and foreign ownership rules).</w:t>
            </w:r>
          </w:p>
        </w:tc>
      </w:tr>
    </w:tbl>
    <w:p w14:paraId="10454017" w14:textId="77777777" w:rsidR="00875D57" w:rsidRDefault="00875D57" w:rsidP="00875D57">
      <w:pPr>
        <w:spacing w:after="0"/>
      </w:pPr>
    </w:p>
    <w:p w14:paraId="0653395D" w14:textId="27CD766F" w:rsidR="00A844C3" w:rsidRDefault="00A844C3" w:rsidP="00A844C3">
      <w:pPr>
        <w:pStyle w:val="Heading3"/>
      </w:pPr>
      <w:r>
        <w:t>Operational Risk – Personal Account Dealing [17h]</w:t>
      </w:r>
    </w:p>
    <w:p w14:paraId="41CC5411"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6605269A" w14:textId="77777777" w:rsidTr="001B14A3">
        <w:trPr>
          <w:trHeight w:val="70"/>
        </w:trPr>
        <w:tc>
          <w:tcPr>
            <w:tcW w:w="9461" w:type="dxa"/>
            <w:tcBorders>
              <w:top w:val="single" w:sz="4" w:space="0" w:color="auto"/>
              <w:left w:val="single" w:sz="4" w:space="0" w:color="auto"/>
              <w:bottom w:val="single" w:sz="4" w:space="0" w:color="auto"/>
              <w:right w:val="single" w:sz="4" w:space="0" w:color="auto"/>
            </w:tcBorders>
            <w:shd w:val="clear" w:color="auto" w:fill="F7F9FB" w:themeFill="accent1" w:themeFillTint="33"/>
          </w:tcPr>
          <w:p w14:paraId="56C1DB41" w14:textId="63505272" w:rsidR="00A844C3" w:rsidRDefault="00A844C3" w:rsidP="001B14A3">
            <w:pPr>
              <w:pStyle w:val="ListBullet"/>
              <w:numPr>
                <w:ilvl w:val="0"/>
                <w:numId w:val="0"/>
              </w:numPr>
              <w:spacing w:after="120"/>
              <w:ind w:left="567" w:hanging="567"/>
              <w:rPr>
                <w:b/>
                <w:lang w:val="en-GB"/>
              </w:rPr>
            </w:pPr>
            <w:r>
              <w:rPr>
                <w:b/>
                <w:lang w:val="en-GB"/>
              </w:rPr>
              <w:t>17h.1 A fund manager should adopt a personal account dealing policy for its staff, ensure awareness of this, test compliance from time to time (</w:t>
            </w:r>
            <w:proofErr w:type="gramStart"/>
            <w:r>
              <w:rPr>
                <w:b/>
                <w:lang w:val="en-GB"/>
              </w:rPr>
              <w:t>e.g.</w:t>
            </w:r>
            <w:proofErr w:type="gramEnd"/>
            <w:r>
              <w:rPr>
                <w:b/>
                <w:lang w:val="en-GB"/>
              </w:rPr>
              <w:t xml:space="preserve"> comparing broker statements against trades for which permission has been granted), and where a manager is not regulated, make a summary of the policy available to investors upon request.</w:t>
            </w:r>
          </w:p>
        </w:tc>
      </w:tr>
    </w:tbl>
    <w:p w14:paraId="5C24779C" w14:textId="77777777" w:rsidR="00875D57" w:rsidRDefault="00875D57" w:rsidP="00875D57">
      <w:pPr>
        <w:spacing w:after="0"/>
      </w:pPr>
      <w:bookmarkStart w:id="15" w:name="_Toc181508695"/>
      <w:bookmarkStart w:id="16" w:name="_Toc185306170"/>
    </w:p>
    <w:p w14:paraId="6EA6C18D" w14:textId="1B77C099" w:rsidR="00A844C3" w:rsidRDefault="00A844C3" w:rsidP="00A844C3">
      <w:pPr>
        <w:pStyle w:val="Heading3"/>
      </w:pPr>
      <w:r>
        <w:t>Operational Risk – Trade Allocation policy [17i]</w:t>
      </w:r>
    </w:p>
    <w:p w14:paraId="0E5C35BD"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354BF117" w14:textId="77777777" w:rsidTr="001B14A3">
        <w:trPr>
          <w:trHeight w:val="70"/>
        </w:trPr>
        <w:tc>
          <w:tcPr>
            <w:tcW w:w="9461" w:type="dxa"/>
            <w:tcBorders>
              <w:top w:val="single" w:sz="4" w:space="0" w:color="auto"/>
              <w:left w:val="single" w:sz="4" w:space="0" w:color="auto"/>
              <w:bottom w:val="single" w:sz="4" w:space="0" w:color="auto"/>
              <w:right w:val="single" w:sz="4" w:space="0" w:color="auto"/>
            </w:tcBorders>
            <w:shd w:val="clear" w:color="auto" w:fill="F7F9FB" w:themeFill="accent1" w:themeFillTint="33"/>
          </w:tcPr>
          <w:p w14:paraId="02863C5A" w14:textId="77C15E59" w:rsidR="00A844C3" w:rsidRDefault="00A844C3" w:rsidP="001B14A3">
            <w:pPr>
              <w:pStyle w:val="ListBullet"/>
              <w:numPr>
                <w:ilvl w:val="0"/>
                <w:numId w:val="0"/>
              </w:numPr>
              <w:spacing w:after="120"/>
              <w:ind w:left="567" w:hanging="567"/>
              <w:rPr>
                <w:b/>
                <w:lang w:val="en-GB"/>
              </w:rPr>
            </w:pPr>
            <w:r>
              <w:rPr>
                <w:b/>
                <w:lang w:val="en-GB"/>
              </w:rPr>
              <w:t>17i.1 A fund manager should put in place a trade allocation policy.</w:t>
            </w:r>
          </w:p>
          <w:p w14:paraId="72C5EE02" w14:textId="77777777" w:rsidR="00A844C3" w:rsidRDefault="00A844C3" w:rsidP="001B14A3">
            <w:pPr>
              <w:pStyle w:val="ListBullet"/>
              <w:numPr>
                <w:ilvl w:val="0"/>
                <w:numId w:val="0"/>
              </w:numPr>
              <w:spacing w:after="120"/>
              <w:ind w:left="567" w:hanging="567"/>
              <w:rPr>
                <w:b/>
                <w:lang w:val="en-GB"/>
              </w:rPr>
            </w:pPr>
            <w:r>
              <w:rPr>
                <w:b/>
                <w:lang w:val="en-GB"/>
              </w:rPr>
              <w:t>17i.2 Upon request, a manager should disclose the trade allocation policy to investors on a confidential basis.</w:t>
            </w:r>
          </w:p>
          <w:p w14:paraId="2E48AE1A" w14:textId="77777777" w:rsidR="00A844C3" w:rsidRPr="00BA4297" w:rsidRDefault="00A844C3" w:rsidP="001B14A3">
            <w:pPr>
              <w:pStyle w:val="ListBullet"/>
              <w:numPr>
                <w:ilvl w:val="0"/>
                <w:numId w:val="0"/>
              </w:numPr>
              <w:spacing w:after="120"/>
              <w:ind w:left="589" w:hanging="22"/>
              <w:rPr>
                <w:bCs/>
                <w:i/>
                <w:iCs/>
                <w:lang w:val="en-GB"/>
              </w:rPr>
            </w:pPr>
            <w:r w:rsidRPr="00BA4297">
              <w:rPr>
                <w:bCs/>
                <w:i/>
                <w:iCs/>
                <w:lang w:val="en-GB"/>
              </w:rPr>
              <w:t>Further guidance on this topic can be found in the SBAI’s Governance Toolbox in the Conflicts of Interest in Parallel Funds Memo</w:t>
            </w:r>
            <w:r>
              <w:rPr>
                <w:rStyle w:val="FootnoteReference"/>
                <w:bCs/>
                <w:i/>
                <w:iCs/>
                <w:lang w:val="en-GB"/>
              </w:rPr>
              <w:footnoteReference w:id="33"/>
            </w:r>
            <w:r w:rsidRPr="00BA4297">
              <w:rPr>
                <w:bCs/>
                <w:i/>
                <w:iCs/>
                <w:lang w:val="en-GB"/>
              </w:rPr>
              <w:t>.</w:t>
            </w:r>
          </w:p>
        </w:tc>
      </w:tr>
    </w:tbl>
    <w:p w14:paraId="46D7CF24" w14:textId="77777777" w:rsidR="00875D57" w:rsidRDefault="00875D57" w:rsidP="00875D57">
      <w:pPr>
        <w:spacing w:after="0"/>
      </w:pPr>
    </w:p>
    <w:p w14:paraId="3D6CCA6F" w14:textId="504D76EA" w:rsidR="00A844C3" w:rsidRDefault="00A844C3" w:rsidP="00A844C3">
      <w:pPr>
        <w:pStyle w:val="Heading3"/>
      </w:pPr>
      <w:r>
        <w:t>Operational risk – arrangements to address conflicts of interest [17j]</w:t>
      </w:r>
    </w:p>
    <w:p w14:paraId="119EDE51"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2E17B620" w14:textId="77777777" w:rsidTr="001B14A3">
        <w:trPr>
          <w:trHeight w:val="70"/>
        </w:trPr>
        <w:tc>
          <w:tcPr>
            <w:tcW w:w="9464" w:type="dxa"/>
            <w:tcBorders>
              <w:top w:val="single" w:sz="4" w:space="0" w:color="auto"/>
              <w:left w:val="single" w:sz="4" w:space="0" w:color="auto"/>
              <w:bottom w:val="single" w:sz="4" w:space="0" w:color="auto"/>
              <w:right w:val="single" w:sz="4" w:space="0" w:color="auto"/>
            </w:tcBorders>
            <w:shd w:val="clear" w:color="auto" w:fill="F7F9FB" w:themeFill="accent1" w:themeFillTint="33"/>
          </w:tcPr>
          <w:p w14:paraId="16C382AD" w14:textId="77777777" w:rsidR="00A844C3" w:rsidRPr="00623279" w:rsidRDefault="00A844C3" w:rsidP="001B14A3">
            <w:pPr>
              <w:spacing w:after="120"/>
              <w:ind w:left="607" w:hanging="607"/>
            </w:pPr>
            <w:r w:rsidRPr="00623279">
              <w:rPr>
                <w:b/>
                <w:bCs/>
              </w:rPr>
              <w:t xml:space="preserve">17j.1   A manager should ensure that it has internal arrangements to manage and mitigate conflicts of interest, and this should include documented compliance policies and procedures (e.g., conflicts of interest policy).  Conflicts of interest should be recorded and reported to senior management on a periodic basis (e.g., </w:t>
            </w:r>
            <w:proofErr w:type="gramStart"/>
            <w:r w:rsidRPr="00623279">
              <w:rPr>
                <w:b/>
                <w:bCs/>
              </w:rPr>
              <w:t>monthly</w:t>
            </w:r>
            <w:proofErr w:type="gramEnd"/>
            <w:r w:rsidRPr="00623279">
              <w:rPr>
                <w:b/>
                <w:bCs/>
              </w:rPr>
              <w:t xml:space="preserve"> or quarterly) </w:t>
            </w:r>
            <w:r w:rsidRPr="00623279">
              <w:rPr>
                <w:b/>
              </w:rPr>
              <w:t xml:space="preserve">or, in the case of conflicts requiring the approval of senior management, escalated as soon as </w:t>
            </w:r>
            <w:r w:rsidRPr="00623279">
              <w:rPr>
                <w:b/>
              </w:rPr>
              <w:lastRenderedPageBreak/>
              <w:t>reasonably practical</w:t>
            </w:r>
            <w:r w:rsidRPr="00623279">
              <w:rPr>
                <w:b/>
                <w:bCs/>
              </w:rPr>
              <w:t>. Where applicable, conflict</w:t>
            </w:r>
            <w:r>
              <w:rPr>
                <w:b/>
                <w:bCs/>
              </w:rPr>
              <w:t>s</w:t>
            </w:r>
            <w:r w:rsidRPr="00623279">
              <w:rPr>
                <w:b/>
                <w:bCs/>
              </w:rPr>
              <w:t xml:space="preserve"> of interest should be reported to the fund governing body. </w:t>
            </w:r>
          </w:p>
          <w:p w14:paraId="6578D1A1" w14:textId="77777777" w:rsidR="00A844C3" w:rsidRPr="00623279" w:rsidRDefault="00A844C3" w:rsidP="001B14A3">
            <w:pPr>
              <w:spacing w:after="120"/>
            </w:pPr>
            <w:r w:rsidRPr="00623279">
              <w:t xml:space="preserve">Examples may include, but are not limited to: </w:t>
            </w:r>
          </w:p>
          <w:p w14:paraId="670F02D3" w14:textId="0A72AF8A" w:rsidR="00A844C3" w:rsidRPr="00AA3208" w:rsidRDefault="00A844C3" w:rsidP="00096B3D">
            <w:pPr>
              <w:pStyle w:val="NoSpacing"/>
              <w:numPr>
                <w:ilvl w:val="0"/>
                <w:numId w:val="24"/>
              </w:numPr>
              <w:spacing w:after="120"/>
            </w:pPr>
            <w:r w:rsidRPr="00AA3208">
              <w:t>Cross trades</w:t>
            </w:r>
            <w:r w:rsidR="00096B3D">
              <w:t>,</w:t>
            </w:r>
          </w:p>
          <w:p w14:paraId="45EC43BA" w14:textId="6CC4ED90" w:rsidR="00A844C3" w:rsidRPr="00AA3208" w:rsidRDefault="00A844C3" w:rsidP="00096B3D">
            <w:pPr>
              <w:pStyle w:val="NoSpacing"/>
              <w:numPr>
                <w:ilvl w:val="0"/>
                <w:numId w:val="24"/>
              </w:numPr>
              <w:spacing w:after="120"/>
            </w:pPr>
            <w:r w:rsidRPr="00AA3208">
              <w:t>Fair allocation of trades / opportunities across different funds or accounts</w:t>
            </w:r>
            <w:r w:rsidR="00096B3D">
              <w:t>,</w:t>
            </w:r>
          </w:p>
          <w:p w14:paraId="13EEFFB4" w14:textId="59DAA280" w:rsidR="00A844C3" w:rsidRPr="00AA3208" w:rsidRDefault="00A844C3" w:rsidP="00096B3D">
            <w:pPr>
              <w:pStyle w:val="NoSpacing"/>
              <w:numPr>
                <w:ilvl w:val="0"/>
                <w:numId w:val="24"/>
              </w:numPr>
              <w:spacing w:after="120"/>
            </w:pPr>
            <w:r w:rsidRPr="00AA3208">
              <w:t>Employee/partners funds</w:t>
            </w:r>
            <w:r w:rsidR="00096B3D">
              <w:t>,</w:t>
            </w:r>
          </w:p>
          <w:p w14:paraId="52D45AA8" w14:textId="3398E5A3" w:rsidR="00A844C3" w:rsidRPr="00AA3208" w:rsidRDefault="00A844C3" w:rsidP="00096B3D">
            <w:pPr>
              <w:pStyle w:val="NoSpacing"/>
              <w:numPr>
                <w:ilvl w:val="0"/>
                <w:numId w:val="24"/>
              </w:numPr>
              <w:spacing w:after="120"/>
            </w:pPr>
            <w:r w:rsidRPr="00AA3208">
              <w:t>Funds that in turn invest in other internal/external funds with incremental fees</w:t>
            </w:r>
            <w:r w:rsidR="00096B3D">
              <w:t>,</w:t>
            </w:r>
          </w:p>
          <w:p w14:paraId="37A6B6B3" w14:textId="0BAE6F97" w:rsidR="00A844C3" w:rsidRPr="00AA3208" w:rsidRDefault="00A844C3" w:rsidP="00096B3D">
            <w:pPr>
              <w:pStyle w:val="NoSpacing"/>
              <w:numPr>
                <w:ilvl w:val="0"/>
                <w:numId w:val="24"/>
              </w:numPr>
              <w:spacing w:after="120"/>
            </w:pPr>
            <w:r w:rsidRPr="00AA3208">
              <w:t>Internal resource allocation across different funds/client accounts</w:t>
            </w:r>
            <w:r w:rsidR="00096B3D">
              <w:t>,</w:t>
            </w:r>
          </w:p>
          <w:p w14:paraId="11BBB870" w14:textId="3DFBB15F" w:rsidR="00A844C3" w:rsidRPr="00AA3208" w:rsidRDefault="00A844C3" w:rsidP="00096B3D">
            <w:pPr>
              <w:pStyle w:val="NoSpacing"/>
              <w:numPr>
                <w:ilvl w:val="0"/>
                <w:numId w:val="24"/>
              </w:numPr>
              <w:spacing w:after="120"/>
            </w:pPr>
            <w:r w:rsidRPr="00AA3208">
              <w:t>Personal Account dealing policies</w:t>
            </w:r>
            <w:r w:rsidR="00096B3D">
              <w:t>,</w:t>
            </w:r>
          </w:p>
          <w:p w14:paraId="699F5822" w14:textId="7BD06838" w:rsidR="00A844C3" w:rsidRPr="00AA3208" w:rsidRDefault="00A844C3" w:rsidP="00096B3D">
            <w:pPr>
              <w:pStyle w:val="NoSpacing"/>
              <w:numPr>
                <w:ilvl w:val="0"/>
                <w:numId w:val="24"/>
              </w:numPr>
              <w:spacing w:after="120"/>
            </w:pPr>
            <w:r w:rsidRPr="00AA3208">
              <w:t>Allocation of expenses</w:t>
            </w:r>
            <w:r w:rsidR="00096B3D">
              <w:t>,</w:t>
            </w:r>
          </w:p>
          <w:p w14:paraId="2104FA14" w14:textId="053B1CF7" w:rsidR="00A844C3" w:rsidRPr="00AA3208" w:rsidRDefault="00A844C3" w:rsidP="00096B3D">
            <w:pPr>
              <w:pStyle w:val="NoSpacing"/>
              <w:numPr>
                <w:ilvl w:val="0"/>
                <w:numId w:val="24"/>
              </w:numPr>
              <w:spacing w:after="120"/>
            </w:pPr>
            <w:r w:rsidRPr="00AA3208">
              <w:t>Use of affiliated service providers</w:t>
            </w:r>
            <w:r w:rsidR="00096B3D">
              <w:t>,</w:t>
            </w:r>
          </w:p>
          <w:p w14:paraId="56FA900E" w14:textId="47D2E381" w:rsidR="00A844C3" w:rsidRPr="00AA3208" w:rsidRDefault="00A844C3" w:rsidP="00096B3D">
            <w:pPr>
              <w:pStyle w:val="NoSpacing"/>
              <w:numPr>
                <w:ilvl w:val="0"/>
                <w:numId w:val="24"/>
              </w:numPr>
              <w:spacing w:after="120"/>
            </w:pPr>
            <w:r w:rsidRPr="00AA3208">
              <w:t>Lack of independent valuation</w:t>
            </w:r>
            <w:r w:rsidR="00096B3D">
              <w:t>,</w:t>
            </w:r>
          </w:p>
          <w:p w14:paraId="65754B2A" w14:textId="006EB96A" w:rsidR="00A844C3" w:rsidRDefault="00A844C3" w:rsidP="00096B3D">
            <w:pPr>
              <w:pStyle w:val="NoSpacing"/>
              <w:numPr>
                <w:ilvl w:val="0"/>
                <w:numId w:val="24"/>
              </w:numPr>
              <w:spacing w:after="120"/>
            </w:pPr>
            <w:r w:rsidRPr="00AA3208">
              <w:t>Differential terms or fees</w:t>
            </w:r>
            <w:r w:rsidR="00096B3D">
              <w:t>,</w:t>
            </w:r>
          </w:p>
          <w:p w14:paraId="5FD1818B" w14:textId="32CBBA0D" w:rsidR="00A844C3" w:rsidRPr="003E6A85" w:rsidRDefault="00A844C3" w:rsidP="00096B3D">
            <w:pPr>
              <w:pStyle w:val="NoSpacing"/>
              <w:numPr>
                <w:ilvl w:val="0"/>
                <w:numId w:val="24"/>
              </w:numPr>
              <w:spacing w:after="120"/>
            </w:pPr>
            <w:r w:rsidRPr="003E6A85">
              <w:t>Use of soft dollars/dealing commissions</w:t>
            </w:r>
            <w:r w:rsidR="00096B3D">
              <w:t>,</w:t>
            </w:r>
          </w:p>
          <w:p w14:paraId="036391EF" w14:textId="4CAD5472" w:rsidR="00A844C3" w:rsidRPr="003E6A85" w:rsidRDefault="00A844C3" w:rsidP="00096B3D">
            <w:pPr>
              <w:pStyle w:val="NoSpacing"/>
              <w:numPr>
                <w:ilvl w:val="0"/>
                <w:numId w:val="24"/>
              </w:numPr>
              <w:spacing w:after="120"/>
            </w:pPr>
            <w:r w:rsidRPr="003E6A85">
              <w:t>Other business interests of investment manager employees</w:t>
            </w:r>
            <w:r w:rsidR="00096B3D">
              <w:t>,</w:t>
            </w:r>
          </w:p>
          <w:p w14:paraId="1DE22889" w14:textId="0E584331" w:rsidR="00A844C3" w:rsidRPr="003E6A85" w:rsidRDefault="00A844C3" w:rsidP="00096B3D">
            <w:pPr>
              <w:pStyle w:val="NoSpacing"/>
              <w:numPr>
                <w:ilvl w:val="0"/>
                <w:numId w:val="24"/>
              </w:numPr>
              <w:spacing w:after="120"/>
            </w:pPr>
            <w:r w:rsidRPr="003E6A85">
              <w:t>Gifts and entertainment</w:t>
            </w:r>
            <w:r w:rsidR="00096B3D">
              <w:t xml:space="preserve">, </w:t>
            </w:r>
          </w:p>
          <w:p w14:paraId="0839D7C8" w14:textId="077E2B85" w:rsidR="00A844C3" w:rsidRPr="00281472" w:rsidRDefault="00A844C3" w:rsidP="00096B3D">
            <w:pPr>
              <w:pStyle w:val="NoSpacing"/>
              <w:numPr>
                <w:ilvl w:val="0"/>
                <w:numId w:val="24"/>
              </w:numPr>
              <w:spacing w:after="120"/>
            </w:pPr>
            <w:r w:rsidRPr="003E6A85">
              <w:t>Suspension and/or gating of redemptions</w:t>
            </w:r>
            <w:r>
              <w:t>.</w:t>
            </w:r>
          </w:p>
        </w:tc>
      </w:tr>
    </w:tbl>
    <w:p w14:paraId="5EB2B261" w14:textId="77777777" w:rsidR="00A844C3" w:rsidRDefault="00A844C3" w:rsidP="00A844C3">
      <w:pPr>
        <w:spacing w:after="0"/>
      </w:pPr>
    </w:p>
    <w:p w14:paraId="08721B64" w14:textId="77777777" w:rsidR="00A844C3" w:rsidRDefault="00A844C3" w:rsidP="00A844C3">
      <w:pPr>
        <w:pStyle w:val="Heading3"/>
        <w:spacing w:before="0"/>
      </w:pPr>
      <w:r w:rsidRPr="008A302C">
        <w:t xml:space="preserve">Operational </w:t>
      </w:r>
      <w:r>
        <w:t>R</w:t>
      </w:r>
      <w:r w:rsidRPr="008A302C">
        <w:t>isk - Disclosure</w:t>
      </w:r>
      <w:bookmarkEnd w:id="15"/>
      <w:bookmarkEnd w:id="16"/>
      <w:r w:rsidRPr="008A302C">
        <w:t xml:space="preserve"> Standards and Guidance [18]</w:t>
      </w:r>
    </w:p>
    <w:p w14:paraId="1C91913D"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6C70ABA6" w14:textId="77777777" w:rsidTr="001B14A3">
        <w:trPr>
          <w:trHeight w:val="276"/>
        </w:trPr>
        <w:tc>
          <w:tcPr>
            <w:tcW w:w="9464" w:type="dxa"/>
            <w:shd w:val="clear" w:color="auto" w:fill="F7F9FB" w:themeFill="accent1" w:themeFillTint="33"/>
          </w:tcPr>
          <w:p w14:paraId="177D96B2" w14:textId="77777777" w:rsidR="00A844C3" w:rsidRDefault="00A844C3" w:rsidP="001B14A3">
            <w:pPr>
              <w:pStyle w:val="ListBullet"/>
              <w:numPr>
                <w:ilvl w:val="0"/>
                <w:numId w:val="0"/>
              </w:numPr>
              <w:spacing w:after="120"/>
              <w:ind w:left="567" w:hanging="567"/>
              <w:rPr>
                <w:b/>
                <w:lang w:val="en-GB"/>
              </w:rPr>
            </w:pPr>
            <w:r w:rsidRPr="005A45E1">
              <w:rPr>
                <w:b/>
                <w:lang w:val="en-GB"/>
              </w:rPr>
              <w:t xml:space="preserve">18.1 </w:t>
            </w:r>
            <w:r>
              <w:rPr>
                <w:b/>
                <w:lang w:val="en-GB"/>
              </w:rPr>
              <w:t xml:space="preserve">  </w:t>
            </w:r>
            <w:r w:rsidRPr="00B325C2">
              <w:rPr>
                <w:b/>
                <w:lang w:val="en-GB"/>
              </w:rPr>
              <w:t xml:space="preserve">To enable investors and creditors to be confident that operational risks are managed satisfactorily, </w:t>
            </w:r>
            <w:r>
              <w:rPr>
                <w:b/>
                <w:lang w:val="en-GB"/>
              </w:rPr>
              <w:t>a fund manager</w:t>
            </w:r>
            <w:r w:rsidRPr="00B325C2">
              <w:rPr>
                <w:b/>
                <w:lang w:val="en-GB"/>
              </w:rPr>
              <w:t xml:space="preserve"> should make available a summary of its procedures and controls applying to the management of operational risk to investors and creditors undertaking due diligence.</w:t>
            </w:r>
          </w:p>
          <w:p w14:paraId="480AF3B8" w14:textId="77777777" w:rsidR="00A844C3" w:rsidRDefault="00A844C3" w:rsidP="001B14A3">
            <w:pPr>
              <w:pStyle w:val="ListBullet"/>
              <w:numPr>
                <w:ilvl w:val="0"/>
                <w:numId w:val="0"/>
              </w:numPr>
              <w:spacing w:after="120"/>
              <w:ind w:left="927" w:hanging="360"/>
              <w:rPr>
                <w:b/>
                <w:lang w:val="en-GB"/>
              </w:rPr>
            </w:pPr>
            <w:r>
              <w:rPr>
                <w:b/>
                <w:lang w:val="en-GB"/>
              </w:rPr>
              <w:t xml:space="preserve">Additional disclosures might include: </w:t>
            </w:r>
          </w:p>
          <w:p w14:paraId="6734B781" w14:textId="583787C3" w:rsidR="00A844C3" w:rsidRDefault="00096B3D" w:rsidP="00A844C3">
            <w:pPr>
              <w:pStyle w:val="ListBullet"/>
              <w:numPr>
                <w:ilvl w:val="0"/>
                <w:numId w:val="22"/>
              </w:numPr>
              <w:spacing w:after="120"/>
              <w:rPr>
                <w:b/>
                <w:lang w:val="en-GB"/>
              </w:rPr>
            </w:pPr>
            <w:r>
              <w:rPr>
                <w:b/>
                <w:lang w:val="en-GB"/>
              </w:rPr>
              <w:t>T</w:t>
            </w:r>
            <w:r w:rsidR="00A844C3">
              <w:rPr>
                <w:b/>
                <w:lang w:val="en-GB"/>
              </w:rPr>
              <w:t xml:space="preserve">he manager’s “soft-dollar” policy or “use of dealing commissions” policy and practices. </w:t>
            </w:r>
          </w:p>
        </w:tc>
      </w:tr>
    </w:tbl>
    <w:p w14:paraId="7C06705B" w14:textId="1A71A138" w:rsidR="00A844C3" w:rsidRPr="00B325C2" w:rsidRDefault="00A844C3" w:rsidP="00096B3D">
      <w:pPr>
        <w:pStyle w:val="Heading2"/>
      </w:pPr>
      <w:r w:rsidRPr="00B325C2">
        <w:t xml:space="preserve">Outsourcing </w:t>
      </w:r>
      <w:r>
        <w:t>R</w:t>
      </w:r>
      <w:r w:rsidRPr="00B325C2">
        <w:t>isk [19]</w:t>
      </w:r>
      <w:r w:rsidR="00096B3D">
        <w:t xml:space="preserve"> </w:t>
      </w:r>
      <w:r w:rsidRPr="00B325C2">
        <w:t>+</w:t>
      </w:r>
      <w:r w:rsidR="00096B3D">
        <w:t xml:space="preserve"> </w:t>
      </w:r>
      <w:r w:rsidRPr="00B325C2">
        <w:t>[20]</w:t>
      </w:r>
    </w:p>
    <w:p w14:paraId="1E115164" w14:textId="77777777" w:rsidR="00A844C3" w:rsidRDefault="00A844C3" w:rsidP="00A844C3">
      <w:pPr>
        <w:spacing w:after="0"/>
      </w:pPr>
    </w:p>
    <w:p w14:paraId="196C2666" w14:textId="77777777" w:rsidR="00A844C3" w:rsidRPr="00B325C2" w:rsidRDefault="00A844C3" w:rsidP="00A844C3">
      <w:r w:rsidRPr="00B325C2">
        <w:t xml:space="preserve">The </w:t>
      </w:r>
      <w:r>
        <w:t>alternative investment</w:t>
      </w:r>
      <w:r w:rsidRPr="00B325C2">
        <w:t xml:space="preserve"> industry is traditionally based on a strongly unbundled business model, with managers focusing on what they are best at – managing the portfolio – while third parties</w:t>
      </w:r>
      <w:r>
        <w:t xml:space="preserve"> provide other services such as administration, valuation, custody, and prime brokerage. </w:t>
      </w:r>
    </w:p>
    <w:p w14:paraId="6509CBF4" w14:textId="77777777" w:rsidR="00A844C3" w:rsidRPr="00322394" w:rsidRDefault="00A844C3" w:rsidP="00A844C3">
      <w:proofErr w:type="gramStart"/>
      <w:r w:rsidRPr="00B325C2">
        <w:t>All of</w:t>
      </w:r>
      <w:proofErr w:type="gramEnd"/>
      <w:r w:rsidRPr="00B325C2">
        <w:t xml:space="preserve"> these services are vital to the success of funds. Ensuring that the selection and monitoring of third-party service providers </w:t>
      </w:r>
      <w:r>
        <w:t xml:space="preserve">are </w:t>
      </w:r>
      <w:r w:rsidRPr="00B325C2">
        <w:t>properly managed</w:t>
      </w:r>
      <w:r>
        <w:t>,</w:t>
      </w:r>
      <w:r w:rsidRPr="00B325C2">
        <w:t xml:space="preserve"> is therefore of great importance to investors. </w:t>
      </w:r>
      <w:bookmarkStart w:id="17" w:name="_Toc181508698"/>
      <w:bookmarkStart w:id="18" w:name="_Toc185306173"/>
    </w:p>
    <w:bookmarkEnd w:id="17"/>
    <w:bookmarkEnd w:id="18"/>
    <w:p w14:paraId="43E2329F" w14:textId="77777777" w:rsidR="00A844C3" w:rsidRDefault="00A844C3" w:rsidP="00A844C3">
      <w:pPr>
        <w:pStyle w:val="Heading3"/>
      </w:pPr>
      <w:r w:rsidRPr="008A302C">
        <w:t xml:space="preserve">Outsourcing </w:t>
      </w:r>
      <w:r>
        <w:t>R</w:t>
      </w:r>
      <w:r w:rsidRPr="008A302C">
        <w:t>isk - Governance Standards and Guidance [19]</w:t>
      </w:r>
    </w:p>
    <w:p w14:paraId="57BCD594" w14:textId="77777777" w:rsidR="00A844C3" w:rsidRPr="00572597"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55D15561" w14:textId="77777777" w:rsidTr="001B14A3">
        <w:trPr>
          <w:trHeight w:val="1410"/>
        </w:trPr>
        <w:tc>
          <w:tcPr>
            <w:tcW w:w="9464" w:type="dxa"/>
            <w:shd w:val="clear" w:color="auto" w:fill="F7F9FB" w:themeFill="accent1" w:themeFillTint="33"/>
          </w:tcPr>
          <w:p w14:paraId="025A641D" w14:textId="77777777" w:rsidR="00A844C3" w:rsidRPr="00B325C2" w:rsidRDefault="00A844C3" w:rsidP="001B14A3">
            <w:pPr>
              <w:spacing w:after="120"/>
            </w:pPr>
            <w:r>
              <w:rPr>
                <w:noProof/>
                <w:lang w:eastAsia="en-GB"/>
              </w:rPr>
              <w:lastRenderedPageBreak/>
              <mc:AlternateContent>
                <mc:Choice Requires="wps">
                  <w:drawing>
                    <wp:anchor distT="0" distB="0" distL="114300" distR="114300" simplePos="0" relativeHeight="251676672" behindDoc="1" locked="0" layoutInCell="0" allowOverlap="1" wp14:anchorId="09D059E7" wp14:editId="19159A1C">
                      <wp:simplePos x="0" y="0"/>
                      <wp:positionH relativeFrom="page">
                        <wp:posOffset>5574665</wp:posOffset>
                      </wp:positionH>
                      <wp:positionV relativeFrom="paragraph">
                        <wp:posOffset>3994785</wp:posOffset>
                      </wp:positionV>
                      <wp:extent cx="0" cy="0"/>
                      <wp:effectExtent l="12065" t="5080" r="6985" b="13970"/>
                      <wp:wrapNone/>
                      <wp:docPr id="1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D854FA" id="Freeform 1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8.95pt,314.55pt,438.95pt,31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" o:allowincell="f" filled="f" strokecolor="#000750" strokeweight=".5pt">
                      <v:path arrowok="t" o:connecttype="custom" o:connectlocs="0,0;0,0" o:connectangles="0,0"/>
                      <w10:wrap anchorx="page"/>
                    </v:polyline>
                  </w:pict>
                </mc:Fallback>
              </mc:AlternateContent>
            </w:r>
            <w:r w:rsidRPr="00B325C2">
              <w:t>Third party services are normally provided under a contract between the fund and the entity providing the service.</w:t>
            </w:r>
          </w:p>
          <w:p w14:paraId="60BF5BBD" w14:textId="77777777" w:rsidR="00A844C3" w:rsidRDefault="00A844C3" w:rsidP="001B14A3">
            <w:pPr>
              <w:pStyle w:val="ListBullet"/>
              <w:numPr>
                <w:ilvl w:val="0"/>
                <w:numId w:val="0"/>
              </w:numPr>
              <w:spacing w:after="120"/>
              <w:ind w:left="360" w:hanging="360"/>
              <w:rPr>
                <w:b/>
                <w:lang w:val="en-GB"/>
              </w:rPr>
            </w:pPr>
            <w:r>
              <w:rPr>
                <w:b/>
                <w:lang w:val="en-GB"/>
              </w:rPr>
              <w:t>19.1 A fund manager</w:t>
            </w:r>
            <w:r w:rsidRPr="00B325C2">
              <w:rPr>
                <w:b/>
                <w:lang w:val="en-GB"/>
              </w:rPr>
              <w:t xml:space="preserve"> should ensure that careful due diligence on third party service providers is conducted before recommending them to the fund governing body.</w:t>
            </w:r>
          </w:p>
          <w:p w14:paraId="282F4C23" w14:textId="77777777" w:rsidR="00A844C3" w:rsidRPr="00C05769" w:rsidRDefault="00A844C3" w:rsidP="001B14A3">
            <w:pPr>
              <w:pStyle w:val="ListBullet"/>
              <w:numPr>
                <w:ilvl w:val="0"/>
                <w:numId w:val="0"/>
              </w:numPr>
              <w:spacing w:after="120"/>
              <w:ind w:left="360"/>
              <w:rPr>
                <w:lang w:val="en-GB"/>
              </w:rPr>
            </w:pPr>
            <w:r w:rsidRPr="00B325C2">
              <w:rPr>
                <w:lang w:val="en-GB"/>
              </w:rPr>
              <w:t>This could include using Due Diligence Questionnaires or evaluating “reports on controls” from an independent reporting accountant issued by the respective third-party service provider.</w:t>
            </w:r>
            <w:r w:rsidRPr="00B325C2">
              <w:rPr>
                <w:rStyle w:val="FootnoteReference"/>
                <w:lang w:val="en-GB"/>
              </w:rPr>
              <w:footnoteReference w:id="34"/>
            </w:r>
            <w:r w:rsidRPr="00B325C2">
              <w:rPr>
                <w:lang w:val="en-GB"/>
              </w:rPr>
              <w:t xml:space="preserve"> </w:t>
            </w:r>
          </w:p>
          <w:p w14:paraId="3988A977" w14:textId="77777777" w:rsidR="00A844C3" w:rsidRDefault="00A844C3" w:rsidP="001B14A3">
            <w:pPr>
              <w:pStyle w:val="ListBullet"/>
              <w:numPr>
                <w:ilvl w:val="0"/>
                <w:numId w:val="0"/>
              </w:numPr>
              <w:spacing w:after="120"/>
              <w:ind w:left="360" w:hanging="360"/>
              <w:rPr>
                <w:b/>
                <w:lang w:val="en-GB"/>
              </w:rPr>
            </w:pPr>
            <w:r>
              <w:rPr>
                <w:b/>
                <w:lang w:val="en-GB"/>
              </w:rPr>
              <w:t>19.2 T</w:t>
            </w:r>
            <w:r w:rsidRPr="00B325C2">
              <w:rPr>
                <w:b/>
                <w:lang w:val="en-GB"/>
              </w:rPr>
              <w:t>hird party service providers</w:t>
            </w:r>
            <w:r>
              <w:rPr>
                <w:b/>
                <w:lang w:val="en-GB"/>
              </w:rPr>
              <w:t xml:space="preserve"> should be regularly reviewed</w:t>
            </w:r>
            <w:r w:rsidRPr="00B325C2">
              <w:rPr>
                <w:b/>
                <w:lang w:val="en-GB"/>
              </w:rPr>
              <w:t>.</w:t>
            </w:r>
            <w:r>
              <w:rPr>
                <w:rStyle w:val="FootnoteReference"/>
                <w:b/>
                <w:lang w:val="en-GB"/>
              </w:rPr>
              <w:footnoteReference w:id="35"/>
            </w:r>
          </w:p>
          <w:p w14:paraId="4ADA1066" w14:textId="77777777" w:rsidR="00A844C3" w:rsidRPr="00BE04C2" w:rsidRDefault="00A844C3" w:rsidP="001B14A3">
            <w:pPr>
              <w:spacing w:after="120"/>
              <w:rPr>
                <w:b/>
                <w:u w:val="single"/>
              </w:rPr>
            </w:pPr>
            <w:r w:rsidRPr="005A45E1">
              <w:rPr>
                <w:b/>
                <w:u w:val="single"/>
              </w:rPr>
              <w:t>Valuation and administration</w:t>
            </w:r>
          </w:p>
          <w:p w14:paraId="2AB3EE8D" w14:textId="77777777" w:rsidR="00A844C3" w:rsidRDefault="00A844C3" w:rsidP="001B14A3">
            <w:pPr>
              <w:pStyle w:val="ListBullet"/>
              <w:numPr>
                <w:ilvl w:val="0"/>
                <w:numId w:val="0"/>
              </w:numPr>
              <w:spacing w:after="120"/>
              <w:ind w:left="360" w:hanging="360"/>
              <w:rPr>
                <w:b/>
                <w:lang w:val="en-GB"/>
              </w:rPr>
            </w:pPr>
            <w:r>
              <w:rPr>
                <w:b/>
                <w:lang w:val="en-GB"/>
              </w:rPr>
              <w:t>19.3 W</w:t>
            </w:r>
            <w:r w:rsidRPr="00B325C2">
              <w:rPr>
                <w:b/>
                <w:lang w:val="en-GB"/>
              </w:rPr>
              <w:t xml:space="preserve">here appropriate, </w:t>
            </w:r>
            <w:r>
              <w:rPr>
                <w:b/>
                <w:lang w:val="en-GB"/>
              </w:rPr>
              <w:t xml:space="preserve">a </w:t>
            </w:r>
            <w:r w:rsidRPr="00B325C2">
              <w:rPr>
                <w:b/>
                <w:lang w:val="en-GB"/>
              </w:rPr>
              <w:t xml:space="preserve">service level agreement (“SLA”) </w:t>
            </w:r>
            <w:r>
              <w:rPr>
                <w:b/>
                <w:lang w:val="en-GB"/>
              </w:rPr>
              <w:t xml:space="preserve">should be put </w:t>
            </w:r>
            <w:r w:rsidRPr="00B325C2">
              <w:rPr>
                <w:b/>
                <w:lang w:val="en-GB"/>
              </w:rPr>
              <w:t>in place with relevant service providers (commonly, this will be attached as a schedule to the agreement between the fund and the relevant service provider).</w:t>
            </w:r>
            <w:r>
              <w:rPr>
                <w:rStyle w:val="FootnoteReference"/>
                <w:b/>
                <w:lang w:val="en-GB"/>
              </w:rPr>
              <w:footnoteReference w:id="36"/>
            </w:r>
            <w:r w:rsidRPr="00B325C2">
              <w:rPr>
                <w:b/>
                <w:lang w:val="en-GB"/>
              </w:rPr>
              <w:t xml:space="preserve">  </w:t>
            </w:r>
          </w:p>
          <w:p w14:paraId="53D3545D" w14:textId="77777777" w:rsidR="00A844C3" w:rsidRPr="00B325C2" w:rsidRDefault="00A844C3" w:rsidP="001B14A3">
            <w:pPr>
              <w:pStyle w:val="ListBullet"/>
              <w:numPr>
                <w:ilvl w:val="0"/>
                <w:numId w:val="0"/>
              </w:numPr>
              <w:spacing w:after="120" w:line="240" w:lineRule="auto"/>
              <w:rPr>
                <w:lang w:val="en-GB"/>
              </w:rPr>
            </w:pPr>
            <w:r w:rsidRPr="00B325C2">
              <w:rPr>
                <w:lang w:val="en-GB"/>
              </w:rPr>
              <w:tab/>
              <w:t>A</w:t>
            </w:r>
            <w:r>
              <w:rPr>
                <w:lang w:val="en-GB"/>
              </w:rPr>
              <w:t>n</w:t>
            </w:r>
            <w:r w:rsidRPr="00B325C2">
              <w:rPr>
                <w:lang w:val="en-GB"/>
              </w:rPr>
              <w:t xml:space="preserve"> SLA would normally be expected to:</w:t>
            </w:r>
          </w:p>
          <w:p w14:paraId="6D585604" w14:textId="495FF6F0" w:rsidR="00A844C3" w:rsidRPr="00B325C2" w:rsidRDefault="00874EED" w:rsidP="001B14A3">
            <w:pPr>
              <w:pStyle w:val="ListBullet2"/>
              <w:spacing w:after="120" w:line="240" w:lineRule="auto"/>
              <w:rPr>
                <w:lang w:val="en-GB"/>
              </w:rPr>
            </w:pPr>
            <w:r>
              <w:rPr>
                <w:lang w:val="en-GB"/>
              </w:rPr>
              <w:t>S</w:t>
            </w:r>
            <w:r w:rsidR="00A844C3" w:rsidRPr="00B325C2">
              <w:rPr>
                <w:lang w:val="en-GB"/>
              </w:rPr>
              <w:t>et out in precise detail the services to be provided by the relevant service provider along with deadlines for completion of the services</w:t>
            </w:r>
            <w:r>
              <w:rPr>
                <w:lang w:val="en-GB"/>
              </w:rPr>
              <w:t>,</w:t>
            </w:r>
          </w:p>
          <w:p w14:paraId="70E8B64F" w14:textId="5C0240F2" w:rsidR="00A844C3" w:rsidRPr="00B325C2" w:rsidRDefault="00874EED" w:rsidP="001B14A3">
            <w:pPr>
              <w:pStyle w:val="ListBullet2"/>
              <w:spacing w:after="120" w:line="240" w:lineRule="auto"/>
              <w:rPr>
                <w:lang w:val="en-GB"/>
              </w:rPr>
            </w:pPr>
            <w:r>
              <w:rPr>
                <w:lang w:val="en-GB"/>
              </w:rPr>
              <w:t>M</w:t>
            </w:r>
            <w:r w:rsidR="00A844C3" w:rsidRPr="00B325C2">
              <w:rPr>
                <w:lang w:val="en-GB"/>
              </w:rPr>
              <w:t>ake clear accountability and responsibility for the orderly operation of all administration or other functions performed by the relevant service provider on behalf of investors</w:t>
            </w:r>
            <w:r>
              <w:rPr>
                <w:lang w:val="en-GB"/>
              </w:rPr>
              <w:t>,</w:t>
            </w:r>
            <w:r w:rsidR="00A844C3" w:rsidRPr="00B325C2">
              <w:rPr>
                <w:lang w:val="en-GB"/>
              </w:rPr>
              <w:t xml:space="preserve"> and </w:t>
            </w:r>
          </w:p>
          <w:p w14:paraId="2AA6F368" w14:textId="70FF7C7E" w:rsidR="00A844C3" w:rsidRPr="00C05769" w:rsidRDefault="00874EED" w:rsidP="001B14A3">
            <w:pPr>
              <w:pStyle w:val="ListBullet2"/>
              <w:spacing w:after="120" w:line="240" w:lineRule="auto"/>
              <w:rPr>
                <w:lang w:val="en-GB"/>
              </w:rPr>
            </w:pPr>
            <w:r>
              <w:rPr>
                <w:lang w:val="en-GB"/>
              </w:rPr>
              <w:t>I</w:t>
            </w:r>
            <w:r w:rsidR="00A844C3" w:rsidRPr="00B325C2">
              <w:rPr>
                <w:lang w:val="en-GB"/>
              </w:rPr>
              <w:t xml:space="preserve">nclude "Key Performance Indicators" to provide </w:t>
            </w:r>
            <w:r w:rsidR="00A844C3">
              <w:rPr>
                <w:lang w:val="en-GB"/>
              </w:rPr>
              <w:t>fund manager</w:t>
            </w:r>
            <w:r w:rsidR="00A844C3" w:rsidRPr="00B325C2">
              <w:rPr>
                <w:lang w:val="en-GB"/>
              </w:rPr>
              <w:t>s and fund governing bodies with a means of measuring whether the objectives set out in the SLA are met by the relevant service provider.</w:t>
            </w:r>
          </w:p>
          <w:p w14:paraId="61D49640" w14:textId="77777777" w:rsidR="00A844C3" w:rsidRPr="00B325C2" w:rsidRDefault="00A844C3" w:rsidP="001B14A3">
            <w:pPr>
              <w:spacing w:after="120" w:line="240" w:lineRule="auto"/>
              <w:rPr>
                <w:i/>
                <w:iCs/>
              </w:rPr>
            </w:pPr>
            <w:r w:rsidRPr="00B325C2">
              <w:rPr>
                <w:i/>
                <w:iCs/>
              </w:rPr>
              <w:t xml:space="preserve">      Further examples of the contents of</w:t>
            </w:r>
            <w:r>
              <w:rPr>
                <w:i/>
                <w:iCs/>
              </w:rPr>
              <w:t xml:space="preserve"> SLAs are provided in Appendix B</w:t>
            </w:r>
            <w:r w:rsidRPr="00B325C2">
              <w:rPr>
                <w:i/>
                <w:iCs/>
              </w:rPr>
              <w:t>.</w:t>
            </w:r>
          </w:p>
          <w:p w14:paraId="3394FB4E" w14:textId="77777777" w:rsidR="00A844C3" w:rsidRDefault="00A844C3" w:rsidP="001B14A3">
            <w:pPr>
              <w:pStyle w:val="ListBullet"/>
              <w:numPr>
                <w:ilvl w:val="0"/>
                <w:numId w:val="0"/>
              </w:numPr>
              <w:spacing w:after="120"/>
              <w:ind w:left="360" w:hanging="360"/>
              <w:rPr>
                <w:b/>
                <w:lang w:val="en-GB"/>
              </w:rPr>
            </w:pPr>
            <w:r>
              <w:rPr>
                <w:b/>
                <w:lang w:val="en-GB"/>
              </w:rPr>
              <w:t>19.4 T</w:t>
            </w:r>
            <w:r w:rsidRPr="00B325C2">
              <w:rPr>
                <w:b/>
                <w:lang w:val="en-GB"/>
              </w:rPr>
              <w:t xml:space="preserve">he services provided by the relevant service provider </w:t>
            </w:r>
            <w:r>
              <w:rPr>
                <w:b/>
                <w:lang w:val="en-GB"/>
              </w:rPr>
              <w:t xml:space="preserve">should be reviewed and monitored </w:t>
            </w:r>
            <w:r w:rsidRPr="00B325C2">
              <w:rPr>
                <w:b/>
                <w:lang w:val="en-GB"/>
              </w:rPr>
              <w:t>against contractual or other agreed standards.</w:t>
            </w:r>
            <w:r>
              <w:rPr>
                <w:rStyle w:val="FootnoteReference"/>
                <w:b/>
                <w:lang w:val="en-GB"/>
              </w:rPr>
              <w:footnoteReference w:id="37"/>
            </w:r>
          </w:p>
          <w:p w14:paraId="7579A1F2" w14:textId="77777777" w:rsidR="00A844C3" w:rsidRDefault="00A844C3" w:rsidP="001B14A3">
            <w:pPr>
              <w:pStyle w:val="ListBullet"/>
              <w:numPr>
                <w:ilvl w:val="0"/>
                <w:numId w:val="0"/>
              </w:numPr>
              <w:spacing w:after="120"/>
              <w:ind w:left="360" w:hanging="360"/>
              <w:rPr>
                <w:b/>
                <w:lang w:val="en-GB"/>
              </w:rPr>
            </w:pPr>
            <w:r>
              <w:rPr>
                <w:b/>
                <w:lang w:val="en-GB"/>
              </w:rPr>
              <w:t xml:space="preserve">19.5 The manager should report to the fund governing body any material concerns it may have in relation to the quality of such services. </w:t>
            </w:r>
          </w:p>
          <w:p w14:paraId="5646AD1C" w14:textId="77777777" w:rsidR="00A844C3" w:rsidRPr="00BE04C2" w:rsidRDefault="00A844C3" w:rsidP="001B14A3">
            <w:pPr>
              <w:pStyle w:val="ListBullet"/>
              <w:numPr>
                <w:ilvl w:val="0"/>
                <w:numId w:val="0"/>
              </w:numPr>
              <w:spacing w:after="120"/>
              <w:rPr>
                <w:b/>
                <w:u w:val="single"/>
                <w:lang w:val="en-GB"/>
              </w:rPr>
            </w:pPr>
            <w:r w:rsidRPr="005A45E1">
              <w:rPr>
                <w:b/>
                <w:u w:val="single"/>
                <w:lang w:val="en-GB"/>
              </w:rPr>
              <w:t>Prime brokers</w:t>
            </w:r>
          </w:p>
          <w:p w14:paraId="706BF019" w14:textId="77777777" w:rsidR="00A844C3" w:rsidRDefault="00A844C3" w:rsidP="001B14A3">
            <w:pPr>
              <w:pStyle w:val="ListBullet"/>
              <w:numPr>
                <w:ilvl w:val="0"/>
                <w:numId w:val="0"/>
              </w:numPr>
              <w:spacing w:after="120"/>
              <w:ind w:left="360" w:hanging="360"/>
              <w:rPr>
                <w:b/>
                <w:lang w:val="en-GB"/>
              </w:rPr>
            </w:pPr>
            <w:r>
              <w:rPr>
                <w:b/>
                <w:lang w:val="en-GB"/>
              </w:rPr>
              <w:t>19.6 A fund manager</w:t>
            </w:r>
            <w:r w:rsidRPr="00B325C2">
              <w:rPr>
                <w:b/>
                <w:lang w:val="en-GB"/>
              </w:rPr>
              <w:t xml:space="preserve"> of a large fund should carefully consider whether it is appropriate for the fund to appoint more than one prime broker (</w:t>
            </w:r>
            <w:proofErr w:type="gramStart"/>
            <w:r w:rsidRPr="00B325C2">
              <w:rPr>
                <w:b/>
                <w:lang w:val="en-GB"/>
              </w:rPr>
              <w:t>taking into account</w:t>
            </w:r>
            <w:proofErr w:type="gramEnd"/>
            <w:r w:rsidRPr="00B325C2">
              <w:rPr>
                <w:b/>
                <w:lang w:val="en-GB"/>
              </w:rPr>
              <w:t xml:space="preserve"> in particular the potential advantages of diversification of funding and other services)</w:t>
            </w:r>
            <w:r>
              <w:rPr>
                <w:b/>
                <w:lang w:val="en-GB"/>
              </w:rPr>
              <w:t>.</w:t>
            </w:r>
            <w:r w:rsidRPr="00B325C2">
              <w:rPr>
                <w:b/>
                <w:lang w:val="en-GB"/>
              </w:rPr>
              <w:t xml:space="preserve"> </w:t>
            </w:r>
          </w:p>
          <w:p w14:paraId="77E6E29E" w14:textId="77777777" w:rsidR="00A844C3" w:rsidRPr="00C05769" w:rsidRDefault="00A844C3" w:rsidP="001B14A3">
            <w:pPr>
              <w:pStyle w:val="ListBullet"/>
              <w:numPr>
                <w:ilvl w:val="0"/>
                <w:numId w:val="0"/>
              </w:numPr>
              <w:spacing w:after="120"/>
              <w:ind w:left="360"/>
              <w:rPr>
                <w:i/>
                <w:lang w:val="en-GB"/>
              </w:rPr>
            </w:pPr>
            <w:r>
              <w:rPr>
                <w:i/>
                <w:noProof/>
                <w:lang w:val="en-GB" w:eastAsia="en-GB" w:bidi="ar-SA"/>
              </w:rPr>
              <mc:AlternateContent>
                <mc:Choice Requires="wps">
                  <w:drawing>
                    <wp:anchor distT="0" distB="0" distL="114300" distR="114300" simplePos="0" relativeHeight="251677696" behindDoc="1" locked="0" layoutInCell="0" allowOverlap="1" wp14:anchorId="6CC5D792" wp14:editId="7CEBED1A">
                      <wp:simplePos x="0" y="0"/>
                      <wp:positionH relativeFrom="page">
                        <wp:posOffset>4847590</wp:posOffset>
                      </wp:positionH>
                      <wp:positionV relativeFrom="page">
                        <wp:posOffset>3794125</wp:posOffset>
                      </wp:positionV>
                      <wp:extent cx="0" cy="0"/>
                      <wp:effectExtent l="8890" t="12700" r="10160" b="6350"/>
                      <wp:wrapNone/>
                      <wp:docPr id="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F91AD7" id="Freeform 2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81.7pt,298.75pt,381.7pt,298.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" o:allowincell="f" filled="f" strokecolor="#000750" strokeweight=".5pt">
                      <v:path arrowok="t" o:connecttype="custom" o:connectlocs="0,0;0,0" o:connectangles="0,0"/>
                      <w10:wrap anchorx="page" anchory="page"/>
                    </v:polyline>
                  </w:pict>
                </mc:Fallback>
              </mc:AlternateContent>
            </w:r>
            <w:r w:rsidRPr="00B325C2">
              <w:rPr>
                <w:i/>
                <w:lang w:val="en-GB"/>
              </w:rPr>
              <w:t xml:space="preserve">The </w:t>
            </w:r>
            <w:r>
              <w:rPr>
                <w:i/>
                <w:lang w:val="en-GB"/>
              </w:rPr>
              <w:t>SBAI</w:t>
            </w:r>
            <w:r w:rsidRPr="00B325C2">
              <w:rPr>
                <w:i/>
                <w:lang w:val="en-GB"/>
              </w:rPr>
              <w:t xml:space="preserve"> is aware that there is a spectrum of criteria to consider when choosing a prime broker, including efficiency and operational risk considerations. </w:t>
            </w:r>
          </w:p>
          <w:p w14:paraId="6F90CB32" w14:textId="77777777" w:rsidR="00A844C3" w:rsidRDefault="00A844C3" w:rsidP="001B14A3">
            <w:pPr>
              <w:spacing w:after="120"/>
              <w:ind w:left="360"/>
            </w:pPr>
            <w:r w:rsidRPr="00B325C2">
              <w:t xml:space="preserve">In carrying out due diligence on a prime broker, </w:t>
            </w:r>
            <w:r>
              <w:t>a fund manager</w:t>
            </w:r>
            <w:r w:rsidRPr="00B325C2">
              <w:t xml:space="preserve"> should consider the potential prime broker’s credit rating, policy on re</w:t>
            </w:r>
            <w:r>
              <w:t>-</w:t>
            </w:r>
            <w:r w:rsidRPr="00B325C2">
              <w:t>hypothecation and general ability to fulfil all process functions accurately and efficiently.</w:t>
            </w:r>
          </w:p>
          <w:p w14:paraId="20D02A7D" w14:textId="77777777" w:rsidR="00A844C3" w:rsidRPr="00BE04C2" w:rsidRDefault="00A844C3" w:rsidP="001B14A3">
            <w:pPr>
              <w:spacing w:after="120"/>
              <w:rPr>
                <w:b/>
                <w:u w:val="single"/>
              </w:rPr>
            </w:pPr>
            <w:r w:rsidRPr="005A45E1">
              <w:rPr>
                <w:b/>
                <w:u w:val="single"/>
              </w:rPr>
              <w:lastRenderedPageBreak/>
              <w:t>Auditors</w:t>
            </w:r>
          </w:p>
          <w:p w14:paraId="6CFAB17C" w14:textId="77777777" w:rsidR="00A844C3" w:rsidRDefault="00A844C3" w:rsidP="001B14A3">
            <w:pPr>
              <w:pStyle w:val="ListBullet"/>
              <w:numPr>
                <w:ilvl w:val="0"/>
                <w:numId w:val="0"/>
              </w:numPr>
              <w:spacing w:after="120"/>
              <w:ind w:left="360" w:hanging="360"/>
              <w:rPr>
                <w:b/>
                <w:lang w:val="en-GB"/>
              </w:rPr>
            </w:pPr>
            <w:r>
              <w:rPr>
                <w:b/>
                <w:lang w:val="en-GB"/>
              </w:rPr>
              <w:t>19.7 R</w:t>
            </w:r>
            <w:r w:rsidRPr="00B325C2">
              <w:rPr>
                <w:b/>
                <w:lang w:val="en-GB"/>
              </w:rPr>
              <w:t>eputable auditors</w:t>
            </w:r>
            <w:r>
              <w:rPr>
                <w:b/>
                <w:lang w:val="en-GB"/>
              </w:rPr>
              <w:t xml:space="preserve"> should be appointed to audit the financial statements of the fund</w:t>
            </w:r>
            <w:r w:rsidRPr="00B325C2">
              <w:rPr>
                <w:b/>
                <w:lang w:val="en-GB"/>
              </w:rPr>
              <w:t>.</w:t>
            </w:r>
            <w:r>
              <w:rPr>
                <w:rStyle w:val="FootnoteReference"/>
                <w:b/>
                <w:lang w:val="en-GB"/>
              </w:rPr>
              <w:footnoteReference w:id="38"/>
            </w:r>
          </w:p>
          <w:p w14:paraId="6877C51A" w14:textId="77777777" w:rsidR="00A844C3" w:rsidRPr="00B325C2" w:rsidRDefault="00A844C3" w:rsidP="001B14A3">
            <w:pPr>
              <w:pStyle w:val="ListBullet"/>
              <w:numPr>
                <w:ilvl w:val="0"/>
                <w:numId w:val="0"/>
              </w:numPr>
              <w:spacing w:after="120"/>
              <w:ind w:left="360"/>
              <w:rPr>
                <w:lang w:val="en-GB"/>
              </w:rPr>
            </w:pPr>
          </w:p>
        </w:tc>
      </w:tr>
    </w:tbl>
    <w:p w14:paraId="5DBD0FE0" w14:textId="77777777" w:rsidR="00874EED" w:rsidRDefault="00874EED" w:rsidP="00874EED">
      <w:pPr>
        <w:pStyle w:val="NoSpacing"/>
      </w:pPr>
      <w:bookmarkStart w:id="19" w:name="_Toc181508700"/>
      <w:bookmarkStart w:id="20" w:name="_Toc185306175"/>
    </w:p>
    <w:p w14:paraId="5AC54965" w14:textId="1961F33C" w:rsidR="00A844C3" w:rsidRDefault="00A844C3" w:rsidP="00A844C3">
      <w:pPr>
        <w:pStyle w:val="Heading3"/>
      </w:pPr>
      <w:r w:rsidRPr="008A302C">
        <w:t xml:space="preserve">Outsourcing </w:t>
      </w:r>
      <w:r>
        <w:t>R</w:t>
      </w:r>
      <w:r w:rsidRPr="008A302C">
        <w:t>isk - Disclosure</w:t>
      </w:r>
      <w:bookmarkEnd w:id="19"/>
      <w:bookmarkEnd w:id="20"/>
      <w:r w:rsidRPr="008A302C">
        <w:t xml:space="preserve"> Standards and Guidance [20]</w:t>
      </w:r>
    </w:p>
    <w:p w14:paraId="5D9D9BC1" w14:textId="77777777" w:rsidR="00A844C3" w:rsidRPr="00B96E2D"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79EAE104" w14:textId="77777777" w:rsidTr="001B14A3">
        <w:trPr>
          <w:trHeight w:val="913"/>
        </w:trPr>
        <w:tc>
          <w:tcPr>
            <w:tcW w:w="9464" w:type="dxa"/>
            <w:shd w:val="clear" w:color="auto" w:fill="F7F9FB" w:themeFill="accent1" w:themeFillTint="33"/>
          </w:tcPr>
          <w:p w14:paraId="026D22D1" w14:textId="77777777" w:rsidR="00A844C3" w:rsidRDefault="00A844C3" w:rsidP="001B14A3">
            <w:pPr>
              <w:pStyle w:val="ListBullet"/>
              <w:numPr>
                <w:ilvl w:val="0"/>
                <w:numId w:val="0"/>
              </w:numPr>
              <w:spacing w:after="120"/>
              <w:ind w:left="360" w:hanging="360"/>
              <w:rPr>
                <w:b/>
                <w:lang w:val="en-GB"/>
              </w:rPr>
            </w:pPr>
            <w:r>
              <w:rPr>
                <w:b/>
                <w:noProof/>
                <w:lang w:val="en-GB" w:eastAsia="en-GB" w:bidi="ar-SA"/>
              </w:rPr>
              <mc:AlternateContent>
                <mc:Choice Requires="wps">
                  <w:drawing>
                    <wp:anchor distT="0" distB="0" distL="114300" distR="114300" simplePos="0" relativeHeight="251678720" behindDoc="1" locked="0" layoutInCell="0" allowOverlap="1" wp14:anchorId="01F40266" wp14:editId="090CB197">
                      <wp:simplePos x="0" y="0"/>
                      <wp:positionH relativeFrom="page">
                        <wp:posOffset>4837430</wp:posOffset>
                      </wp:positionH>
                      <wp:positionV relativeFrom="paragraph">
                        <wp:posOffset>1948180</wp:posOffset>
                      </wp:positionV>
                      <wp:extent cx="0" cy="0"/>
                      <wp:effectExtent l="8255" t="9525" r="10795" b="9525"/>
                      <wp:wrapNone/>
                      <wp:docPr id="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975B2D" id="Freeform 2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0.9pt,153.4pt,380.9pt,153.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" o:allowincell="f" filled="f" strokecolor="#000750" strokeweight=".5pt">
                      <v:path arrowok="t" o:connecttype="custom" o:connectlocs="0,0;0,0" o:connectangles="0,0"/>
                      <w10:wrap anchorx="page"/>
                    </v:polyline>
                  </w:pict>
                </mc:Fallback>
              </mc:AlternateContent>
            </w:r>
            <w:r>
              <w:rPr>
                <w:b/>
                <w:lang w:val="en-GB"/>
              </w:rPr>
              <w:t>20.1 A fund manager</w:t>
            </w:r>
            <w:r w:rsidRPr="00B325C2">
              <w:rPr>
                <w:b/>
                <w:lang w:val="en-GB"/>
              </w:rPr>
              <w:t xml:space="preserve"> should disclose the names of its principal third party service providers in its due diligence documents or upon request.</w:t>
            </w:r>
          </w:p>
          <w:p w14:paraId="2FDD6E63" w14:textId="77777777" w:rsidR="00A844C3" w:rsidRDefault="00A844C3" w:rsidP="001B14A3">
            <w:pPr>
              <w:pStyle w:val="ListBullet"/>
              <w:numPr>
                <w:ilvl w:val="0"/>
                <w:numId w:val="0"/>
              </w:numPr>
              <w:spacing w:after="120"/>
              <w:ind w:left="360" w:hanging="360"/>
              <w:rPr>
                <w:b/>
                <w:lang w:val="en-GB"/>
              </w:rPr>
            </w:pPr>
            <w:r>
              <w:rPr>
                <w:b/>
                <w:lang w:val="en-GB"/>
              </w:rPr>
              <w:t>20.2 A fund manager</w:t>
            </w:r>
            <w:r w:rsidRPr="00B325C2">
              <w:rPr>
                <w:b/>
                <w:lang w:val="en-GB"/>
              </w:rPr>
              <w:t xml:space="preserve"> should, to the extent it is able or permitted to do so, provide information on the fund’s committed funding or financing arrangements with prime brokers/lenders to investors in its due diligence documents or upon request.</w:t>
            </w:r>
          </w:p>
          <w:p w14:paraId="5CE0AA3A" w14:textId="77777777" w:rsidR="00A844C3" w:rsidRDefault="00A844C3" w:rsidP="001B14A3">
            <w:pPr>
              <w:pStyle w:val="ListBullet"/>
              <w:numPr>
                <w:ilvl w:val="0"/>
                <w:numId w:val="0"/>
              </w:numPr>
              <w:spacing w:after="120"/>
              <w:ind w:left="360" w:hanging="360"/>
              <w:rPr>
                <w:rFonts w:ascii="Arial Black" w:hAnsi="Arial Black" w:cs="Arial"/>
                <w:b/>
                <w:sz w:val="20"/>
                <w:lang w:val="en-GB"/>
              </w:rPr>
            </w:pPr>
            <w:r>
              <w:rPr>
                <w:b/>
                <w:lang w:val="en-GB"/>
              </w:rPr>
              <w:t>20.3 A fund manager</w:t>
            </w:r>
            <w:r w:rsidRPr="00B325C2">
              <w:rPr>
                <w:b/>
                <w:lang w:val="en-GB"/>
              </w:rPr>
              <w:t xml:space="preserve"> should disclose the nature of any special commercial terms with its third-party service providers which result in potential conflicts of interest (e.g., in-house brokerage or rebates).</w:t>
            </w:r>
          </w:p>
          <w:p w14:paraId="31EF50E2" w14:textId="77777777" w:rsidR="00A844C3" w:rsidRDefault="00A844C3" w:rsidP="001B14A3">
            <w:pPr>
              <w:pStyle w:val="ListBullet"/>
              <w:numPr>
                <w:ilvl w:val="0"/>
                <w:numId w:val="0"/>
              </w:numPr>
              <w:spacing w:after="120"/>
              <w:ind w:left="360" w:hanging="360"/>
              <w:rPr>
                <w:rFonts w:ascii="Arial Black" w:hAnsi="Arial Black" w:cs="Arial"/>
                <w:b/>
                <w:sz w:val="20"/>
                <w:lang w:val="en-GB"/>
              </w:rPr>
            </w:pPr>
            <w:r>
              <w:rPr>
                <w:b/>
                <w:lang w:val="en-GB"/>
              </w:rPr>
              <w:t>20.4 A fund manager</w:t>
            </w:r>
            <w:r w:rsidRPr="00B325C2">
              <w:rPr>
                <w:b/>
                <w:lang w:val="en-GB"/>
              </w:rPr>
              <w:t xml:space="preserve"> to the extent applicable should disclose the monitoring procedures in relation to its third-party service providers in its due diligence documents or upon request.</w:t>
            </w:r>
          </w:p>
          <w:p w14:paraId="44FEB176" w14:textId="77777777" w:rsidR="00A844C3" w:rsidRPr="00B325C2" w:rsidRDefault="00A844C3" w:rsidP="001B14A3">
            <w:pPr>
              <w:pStyle w:val="ListBullet"/>
              <w:numPr>
                <w:ilvl w:val="0"/>
                <w:numId w:val="0"/>
              </w:numPr>
              <w:spacing w:after="120"/>
              <w:ind w:left="360"/>
              <w:rPr>
                <w:lang w:val="en-GB"/>
              </w:rPr>
            </w:pPr>
          </w:p>
        </w:tc>
      </w:tr>
    </w:tbl>
    <w:p w14:paraId="75906E8D" w14:textId="75473EF7" w:rsidR="00A844C3" w:rsidRDefault="00A844C3" w:rsidP="00874EED">
      <w:pPr>
        <w:pStyle w:val="Heading2"/>
      </w:pPr>
      <w:r w:rsidRPr="006A5820">
        <w:t>D.</w:t>
      </w:r>
      <w:r w:rsidR="00741426">
        <w:t xml:space="preserve"> </w:t>
      </w:r>
      <w:r w:rsidRPr="006A5820">
        <w:t>Fund Governance [21]</w:t>
      </w:r>
      <w:r w:rsidR="00874EED">
        <w:t xml:space="preserve"> </w:t>
      </w:r>
      <w:r w:rsidRPr="006A5820">
        <w:t>+</w:t>
      </w:r>
      <w:r w:rsidR="00874EED">
        <w:t xml:space="preserve"> </w:t>
      </w:r>
      <w:r w:rsidRPr="006A5820">
        <w:t>[22]</w:t>
      </w:r>
    </w:p>
    <w:p w14:paraId="40EDFEA0" w14:textId="77777777" w:rsidR="00A844C3" w:rsidRDefault="00A844C3" w:rsidP="00A844C3">
      <w:pPr>
        <w:spacing w:after="0"/>
      </w:pPr>
    </w:p>
    <w:p w14:paraId="054E0D15" w14:textId="77777777" w:rsidR="00A844C3" w:rsidRPr="00B325C2" w:rsidRDefault="00A844C3" w:rsidP="00A844C3">
      <w:r w:rsidRPr="00B325C2">
        <w:t xml:space="preserve">Potential conflicts of interest can arise between </w:t>
      </w:r>
      <w:r>
        <w:t>fund manager</w:t>
      </w:r>
      <w:r w:rsidRPr="00B325C2">
        <w:t>s, the funds which they manage and</w:t>
      </w:r>
      <w:r>
        <w:t xml:space="preserve"> investors in those funds</w:t>
      </w:r>
      <w:r w:rsidRPr="00B325C2">
        <w:t xml:space="preserve">. To mitigate these potential conflicts, appropriate governance mechanisms and oversight are required. </w:t>
      </w:r>
    </w:p>
    <w:p w14:paraId="1E5880A6" w14:textId="77777777" w:rsidR="00A844C3" w:rsidRPr="00B325C2" w:rsidRDefault="00A844C3" w:rsidP="00A844C3">
      <w:r w:rsidRPr="00B325C2">
        <w:t xml:space="preserve">An important issue to consider on establishing a fund, therefore, is the mechanism for addressing and containing such potential conflicts of interest. This issue may not have been accorded great importance when the </w:t>
      </w:r>
      <w:r>
        <w:t xml:space="preserve">alternative investment </w:t>
      </w:r>
      <w:r w:rsidRPr="00B325C2">
        <w:t>industry was in its infancy</w:t>
      </w:r>
      <w:r>
        <w:t>;</w:t>
      </w:r>
      <w:r w:rsidRPr="00B325C2">
        <w:t xml:space="preserve"> perhaps reflecting the fact that the relationships between managers and their relatively few private investors were more informal </w:t>
      </w:r>
      <w:r>
        <w:t xml:space="preserve">or that </w:t>
      </w:r>
      <w:r w:rsidRPr="00B325C2">
        <w:t xml:space="preserve">managers themselves may have been the main investors. As such, these relationships were essentially based on mutual knowledge and trust at that time. As the industry has grown, however, the investor base has broadened with more and more institutional investors (insurance companies, pension funds, endowments and so on) and funds of funds starting to invest in </w:t>
      </w:r>
      <w:r>
        <w:t>alternative investment</w:t>
      </w:r>
      <w:r w:rsidRPr="00B325C2">
        <w:t xml:space="preserve"> funds. The </w:t>
      </w:r>
      <w:r>
        <w:t>SBAI</w:t>
      </w:r>
      <w:r w:rsidRPr="00B325C2">
        <w:t xml:space="preserve"> considers that this change in the investor base requires a reinforcement of oversight processes</w:t>
      </w:r>
      <w:r>
        <w:t>.</w:t>
      </w:r>
    </w:p>
    <w:p w14:paraId="444C259D" w14:textId="77777777" w:rsidR="00A844C3" w:rsidRDefault="00A844C3" w:rsidP="00A844C3">
      <w:r w:rsidRPr="00B325C2">
        <w:t xml:space="preserve">Of course, not all </w:t>
      </w:r>
      <w:r>
        <w:t>alternative investment</w:t>
      </w:r>
      <w:r w:rsidRPr="00B325C2">
        <w:t xml:space="preserve"> funds are the same and so practice</w:t>
      </w:r>
      <w:r>
        <w:t>s</w:t>
      </w:r>
      <w:r w:rsidRPr="00B325C2">
        <w:t xml:space="preserve"> in any </w:t>
      </w:r>
      <w:proofErr w:type="gramStart"/>
      <w:r w:rsidRPr="00B325C2">
        <w:t>particular case</w:t>
      </w:r>
      <w:proofErr w:type="gramEnd"/>
      <w:r w:rsidRPr="00B325C2">
        <w:t xml:space="preserve"> may need to reflect the investor base, the size and age of a fund</w:t>
      </w:r>
      <w:r>
        <w:t xml:space="preserve"> </w:t>
      </w:r>
      <w:r w:rsidRPr="00B325C2">
        <w:t xml:space="preserve">and other relevant factors. </w:t>
      </w:r>
      <w:r>
        <w:t xml:space="preserve">The legal structure will also need to be </w:t>
      </w:r>
      <w:proofErr w:type="gramStart"/>
      <w:r>
        <w:t>taken into account</w:t>
      </w:r>
      <w:proofErr w:type="gramEnd"/>
      <w:r>
        <w:t xml:space="preserve">, with the governance mechanism applicable in the case of a fund structured as a company, for example, differing from that applicable in the case of a limited partnership or unit trust. </w:t>
      </w:r>
      <w:r w:rsidRPr="00B325C2">
        <w:t>This indicates a “spectrum” of</w:t>
      </w:r>
      <w:r>
        <w:t xml:space="preserve"> acceptable </w:t>
      </w:r>
      <w:r w:rsidRPr="00B325C2">
        <w:t>governance approaches</w:t>
      </w:r>
      <w:r>
        <w:t>.</w:t>
      </w:r>
    </w:p>
    <w:p w14:paraId="384BD28D" w14:textId="77777777" w:rsidR="00A844C3" w:rsidRDefault="00A844C3" w:rsidP="00A844C3">
      <w:r>
        <w:t xml:space="preserve">Conceptually, the SBAI believes that in most cases the preferred model involves establishing a fund governing body comprising </w:t>
      </w:r>
      <w:proofErr w:type="gramStart"/>
      <w:r>
        <w:t>a majority of</w:t>
      </w:r>
      <w:proofErr w:type="gramEnd"/>
      <w:r>
        <w:t xml:space="preserve"> independent directors, who are suitably qualified and </w:t>
      </w:r>
      <w:r>
        <w:lastRenderedPageBreak/>
        <w:t>experienced such that they are comfortable holding the manager to account for its performance and conduct. The SBAI recognises, however, that, amongst other things, the nature of the investor base, market practice in certain jurisdictions, the legal structure of the fund and the availability of individuals to serve on fund governing bodies will in some cases legitimately result in alternative governance mechanisms being adopted.</w:t>
      </w:r>
    </w:p>
    <w:p w14:paraId="4FD92EE2" w14:textId="77777777" w:rsidR="00A844C3" w:rsidRDefault="00A844C3" w:rsidP="00A844C3">
      <w:r>
        <w:t>Where the preferred model outlined above is not adopted (for whatever reason), the SBAI believes that it is appropriate to consider whether the fund’s constitution or offering documents should provide for certain decisions or actions (for example, material changes to fees, investment strategy, etc.) to be made or taken only with investor consent (obtained in accordance with the provisions relating to investor voting/ consent/approvals contained in the fund's constitutional documentation or offering documents) or, if applicable, where advance notice has been given sufficient for investors to redeem their investments before such decisions or actions take effect.</w:t>
      </w:r>
    </w:p>
    <w:p w14:paraId="59E86EC3" w14:textId="77777777" w:rsidR="00A844C3" w:rsidRDefault="00A844C3" w:rsidP="001634FB">
      <w:pPr>
        <w:pStyle w:val="NoSpacing"/>
      </w:pPr>
      <w:r w:rsidRPr="00B325C2">
        <w:t xml:space="preserve">Of course, the </w:t>
      </w:r>
      <w:r>
        <w:t>SBAI</w:t>
      </w:r>
      <w:r w:rsidRPr="00B325C2">
        <w:t xml:space="preserve"> acknowledges that irrespective of the chosen governance approach, in practical terms, investors usually choose a manager to invest with rather than appointing a fund governing body with a mandate to select an appropriate manager.</w:t>
      </w:r>
    </w:p>
    <w:p w14:paraId="78F99C94" w14:textId="77777777" w:rsidR="001634FB" w:rsidRDefault="001634FB" w:rsidP="001634FB">
      <w:pPr>
        <w:pStyle w:val="NoSpacing"/>
      </w:pPr>
    </w:p>
    <w:p w14:paraId="44EE26CD" w14:textId="6EBB2F5E" w:rsidR="00A844C3" w:rsidRDefault="00A844C3" w:rsidP="001634FB">
      <w:pPr>
        <w:pStyle w:val="NoSpacing"/>
      </w:pPr>
      <w:r>
        <w:t>Further Guidance can be found in the SBAI’s Governance Toolbox on running a Fund Board meeting and a standardised Board Agenda</w:t>
      </w:r>
      <w:r w:rsidRPr="00741426">
        <w:rPr>
          <w:vertAlign w:val="superscript"/>
        </w:rPr>
        <w:footnoteReference w:id="39"/>
      </w:r>
      <w:r>
        <w:t>.</w:t>
      </w:r>
    </w:p>
    <w:p w14:paraId="1E152887" w14:textId="77777777" w:rsidR="001634FB" w:rsidRDefault="001634FB" w:rsidP="001634FB">
      <w:pPr>
        <w:pStyle w:val="NoSpacing"/>
      </w:pPr>
    </w:p>
    <w:p w14:paraId="7F5358E4" w14:textId="77777777" w:rsidR="00A844C3" w:rsidRDefault="00A844C3" w:rsidP="00A844C3">
      <w:pPr>
        <w:pStyle w:val="Heading3"/>
      </w:pPr>
      <w:r w:rsidRPr="008A302C">
        <w:t xml:space="preserve">Fund </w:t>
      </w:r>
      <w:r>
        <w:t>G</w:t>
      </w:r>
      <w:r w:rsidRPr="008A302C">
        <w:t xml:space="preserve">overnance </w:t>
      </w:r>
      <w:r>
        <w:t xml:space="preserve">- </w:t>
      </w:r>
      <w:r w:rsidRPr="008A302C">
        <w:t xml:space="preserve">Standards and Guidance [21] </w:t>
      </w:r>
    </w:p>
    <w:p w14:paraId="3B861B8A" w14:textId="77777777" w:rsidR="00A844C3" w:rsidRPr="004D155F"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44444103" w14:textId="77777777" w:rsidTr="001B14A3">
        <w:trPr>
          <w:trHeight w:val="378"/>
        </w:trPr>
        <w:tc>
          <w:tcPr>
            <w:tcW w:w="9464" w:type="dxa"/>
            <w:shd w:val="clear" w:color="auto" w:fill="F7F9FB" w:themeFill="accent1" w:themeFillTint="33"/>
          </w:tcPr>
          <w:p w14:paraId="22DB4896" w14:textId="77777777" w:rsidR="00A844C3" w:rsidRDefault="00A844C3" w:rsidP="001B14A3">
            <w:pPr>
              <w:pStyle w:val="ListBullet"/>
              <w:numPr>
                <w:ilvl w:val="0"/>
                <w:numId w:val="0"/>
              </w:numPr>
              <w:spacing w:after="120"/>
              <w:ind w:left="360" w:hanging="360"/>
              <w:rPr>
                <w:b/>
                <w:lang w:val="en-GB"/>
              </w:rPr>
            </w:pPr>
            <w:r>
              <w:rPr>
                <w:b/>
                <w:noProof/>
                <w:lang w:val="en-GB" w:eastAsia="en-GB" w:bidi="ar-SA"/>
              </w:rPr>
              <mc:AlternateContent>
                <mc:Choice Requires="wps">
                  <w:drawing>
                    <wp:anchor distT="0" distB="0" distL="114300" distR="114300" simplePos="0" relativeHeight="251673600" behindDoc="1" locked="0" layoutInCell="0" allowOverlap="1" wp14:anchorId="4705999E" wp14:editId="3CE30FDE">
                      <wp:simplePos x="0" y="0"/>
                      <wp:positionH relativeFrom="page">
                        <wp:posOffset>6232525</wp:posOffset>
                      </wp:positionH>
                      <wp:positionV relativeFrom="paragraph">
                        <wp:posOffset>7332980</wp:posOffset>
                      </wp:positionV>
                      <wp:extent cx="0" cy="0"/>
                      <wp:effectExtent l="12700" t="8890" r="6350" b="1016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947F6" id="Freeform 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0.75pt,577.4pt,490.75pt,577.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" o:allowincell="f" filled="f" strokecolor="#000750" strokeweight=".5pt">
                      <v:path arrowok="t" o:connecttype="custom" o:connectlocs="0,0;0,0" o:connectangles="0,0"/>
                      <w10:wrap anchorx="page"/>
                    </v:polyline>
                  </w:pict>
                </mc:Fallback>
              </mc:AlternateContent>
            </w:r>
            <w:r>
              <w:rPr>
                <w:b/>
                <w:lang w:val="en-GB"/>
              </w:rPr>
              <w:t xml:space="preserve">21.1 </w:t>
            </w:r>
            <w:r w:rsidRPr="00B325C2">
              <w:rPr>
                <w:b/>
                <w:lang w:val="en-GB"/>
              </w:rPr>
              <w:t xml:space="preserve">Prior to the establishment of a fund, </w:t>
            </w:r>
            <w:r>
              <w:rPr>
                <w:b/>
                <w:lang w:val="en-GB"/>
              </w:rPr>
              <w:t>a fund manager</w:t>
            </w:r>
            <w:r w:rsidRPr="00B325C2">
              <w:rPr>
                <w:b/>
                <w:lang w:val="en-GB"/>
              </w:rPr>
              <w:t xml:space="preserve"> should assess where the fund governance structure should lie on the “spectrum” (see above). </w:t>
            </w:r>
            <w:proofErr w:type="gramStart"/>
            <w:r w:rsidRPr="00B325C2">
              <w:rPr>
                <w:b/>
                <w:lang w:val="en-GB"/>
              </w:rPr>
              <w:t>In light of</w:t>
            </w:r>
            <w:proofErr w:type="gramEnd"/>
            <w:r w:rsidRPr="00B325C2">
              <w:rPr>
                <w:b/>
                <w:lang w:val="en-GB"/>
              </w:rPr>
              <w:t xml:space="preserve"> that assessment, the manager should be proactive in seeking to ensure that a fund governance structure which is suitable and robust to oversee and handle potential conflicts of interest is put in place at the outset.</w:t>
            </w:r>
          </w:p>
          <w:p w14:paraId="517C78F5" w14:textId="77777777" w:rsidR="00A844C3" w:rsidRDefault="00A844C3" w:rsidP="001B14A3">
            <w:pPr>
              <w:pStyle w:val="ListBullet2"/>
              <w:numPr>
                <w:ilvl w:val="0"/>
                <w:numId w:val="0"/>
              </w:numPr>
              <w:spacing w:after="120"/>
              <w:ind w:left="426"/>
              <w:rPr>
                <w:lang w:val="en-GB"/>
              </w:rPr>
            </w:pPr>
            <w:r>
              <w:rPr>
                <w:lang w:val="en-GB"/>
              </w:rPr>
              <w:t xml:space="preserve">In determining the fund governance structure which is suitable in the case of any </w:t>
            </w:r>
            <w:proofErr w:type="gramStart"/>
            <w:r>
              <w:rPr>
                <w:lang w:val="en-GB"/>
              </w:rPr>
              <w:t>particular fund</w:t>
            </w:r>
            <w:proofErr w:type="gramEnd"/>
            <w:r>
              <w:rPr>
                <w:lang w:val="en-GB"/>
              </w:rPr>
              <w:t>, the SBAI believes that managers will wish to consider:</w:t>
            </w:r>
          </w:p>
          <w:p w14:paraId="2F39405F" w14:textId="34F0B734" w:rsidR="00A844C3" w:rsidRDefault="00874EED" w:rsidP="00A844C3">
            <w:pPr>
              <w:pStyle w:val="ListBullet2"/>
              <w:numPr>
                <w:ilvl w:val="0"/>
                <w:numId w:val="21"/>
              </w:numPr>
              <w:spacing w:after="120"/>
              <w:rPr>
                <w:lang w:val="en-GB"/>
              </w:rPr>
            </w:pPr>
            <w:r>
              <w:rPr>
                <w:lang w:val="en-GB"/>
              </w:rPr>
              <w:t>T</w:t>
            </w:r>
            <w:r w:rsidR="00A844C3">
              <w:rPr>
                <w:lang w:val="en-GB"/>
              </w:rPr>
              <w:t>he range of relevant skills and experience of the members of the fund governing body and the extent to which the fund governing body is able adequately to supervise, and hold to account, the fund manager</w:t>
            </w:r>
            <w:r>
              <w:rPr>
                <w:lang w:val="en-GB"/>
              </w:rPr>
              <w:t>,</w:t>
            </w:r>
            <w:r w:rsidR="00A844C3">
              <w:rPr>
                <w:lang w:val="en-GB"/>
              </w:rPr>
              <w:t xml:space="preserve"> and</w:t>
            </w:r>
          </w:p>
          <w:p w14:paraId="42674F88" w14:textId="54180F39" w:rsidR="00A844C3" w:rsidRPr="0000232D" w:rsidRDefault="00874EED" w:rsidP="00A844C3">
            <w:pPr>
              <w:pStyle w:val="ListBullet2"/>
              <w:numPr>
                <w:ilvl w:val="0"/>
                <w:numId w:val="21"/>
              </w:numPr>
              <w:spacing w:after="120"/>
              <w:rPr>
                <w:lang w:val="en-GB"/>
              </w:rPr>
            </w:pPr>
            <w:r>
              <w:rPr>
                <w:lang w:val="en-GB"/>
              </w:rPr>
              <w:t>T</w:t>
            </w:r>
            <w:r w:rsidR="00A844C3" w:rsidRPr="0000232D">
              <w:rPr>
                <w:lang w:val="en-GB"/>
              </w:rPr>
              <w:t xml:space="preserve">he extent to which the fund governing body </w:t>
            </w:r>
            <w:proofErr w:type="gramStart"/>
            <w:r w:rsidR="00A844C3" w:rsidRPr="0000232D">
              <w:rPr>
                <w:lang w:val="en-GB"/>
              </w:rPr>
              <w:t>is able to</w:t>
            </w:r>
            <w:proofErr w:type="gramEnd"/>
            <w:r w:rsidR="00A844C3" w:rsidRPr="0000232D">
              <w:rPr>
                <w:lang w:val="en-GB"/>
              </w:rPr>
              <w:t xml:space="preserve"> operate independently of the </w:t>
            </w:r>
            <w:r w:rsidR="00A844C3">
              <w:rPr>
                <w:lang w:val="en-GB"/>
              </w:rPr>
              <w:t>fund manager</w:t>
            </w:r>
            <w:r w:rsidR="00A844C3" w:rsidRPr="0000232D">
              <w:rPr>
                <w:lang w:val="en-GB"/>
              </w:rPr>
              <w:t xml:space="preserve">. </w:t>
            </w:r>
          </w:p>
          <w:p w14:paraId="1062F824" w14:textId="77777777" w:rsidR="00A844C3" w:rsidRDefault="00A844C3" w:rsidP="001B14A3">
            <w:pPr>
              <w:pStyle w:val="ListBullet2"/>
              <w:numPr>
                <w:ilvl w:val="0"/>
                <w:numId w:val="0"/>
              </w:numPr>
              <w:spacing w:after="120"/>
              <w:ind w:left="426" w:hanging="426"/>
              <w:rPr>
                <w:b/>
                <w:lang w:val="en-GB"/>
              </w:rPr>
            </w:pPr>
            <w:r w:rsidRPr="0075172D">
              <w:rPr>
                <w:b/>
                <w:lang w:val="en-GB"/>
              </w:rPr>
              <w:t>21.2 Where a</w:t>
            </w:r>
            <w:r>
              <w:rPr>
                <w:b/>
                <w:lang w:val="en-GB"/>
              </w:rPr>
              <w:t xml:space="preserve"> majority of the individual members of the fund governing body are not independent of the manager or where there is no fund governing body,</w:t>
            </w:r>
            <w:r w:rsidRPr="0075172D">
              <w:rPr>
                <w:b/>
                <w:lang w:val="en-GB"/>
              </w:rPr>
              <w:t xml:space="preserve"> certain key actions</w:t>
            </w:r>
            <w:r>
              <w:rPr>
                <w:b/>
                <w:lang w:val="en-GB"/>
              </w:rPr>
              <w:t xml:space="preserve"> such as (a) material adverse changes to: the fees and expenses payable by the fund to the manager or the redemption rights available to investors, or (b) material changes to the fund’s stated investment strategy or legal structure should (unless required by law or regulation) only be taken</w:t>
            </w:r>
            <w:r w:rsidRPr="0075172D">
              <w:rPr>
                <w:b/>
                <w:lang w:val="en-GB"/>
              </w:rPr>
              <w:t xml:space="preserve"> with investor consent (obtained in accordance with the provisions relating to investor voting/consent/approval contained in the fund's constitution</w:t>
            </w:r>
            <w:r>
              <w:rPr>
                <w:b/>
                <w:lang w:val="en-GB"/>
              </w:rPr>
              <w:t xml:space="preserve"> or offering documents</w:t>
            </w:r>
            <w:r w:rsidRPr="0075172D">
              <w:rPr>
                <w:b/>
                <w:lang w:val="en-GB"/>
              </w:rPr>
              <w:t xml:space="preserve">) or </w:t>
            </w:r>
            <w:r>
              <w:rPr>
                <w:b/>
                <w:lang w:val="en-GB"/>
              </w:rPr>
              <w:t xml:space="preserve">if advance notice is provided sufficient </w:t>
            </w:r>
            <w:r w:rsidRPr="0075172D">
              <w:rPr>
                <w:b/>
                <w:lang w:val="en-GB"/>
              </w:rPr>
              <w:t>for investors to redeem before such actions take effect.</w:t>
            </w:r>
          </w:p>
          <w:p w14:paraId="3FD6277D" w14:textId="79DD7BD6" w:rsidR="00A844C3" w:rsidRDefault="00A844C3" w:rsidP="001B14A3">
            <w:pPr>
              <w:pStyle w:val="ListBullet2"/>
              <w:numPr>
                <w:ilvl w:val="0"/>
                <w:numId w:val="0"/>
              </w:numPr>
              <w:spacing w:after="120"/>
              <w:ind w:left="426"/>
            </w:pPr>
            <w:r>
              <w:lastRenderedPageBreak/>
              <w:t xml:space="preserve">For the purposes of this Standard, the SBAI would not consider a member of a fund governing body to be independent if he or she is a director, employee, </w:t>
            </w:r>
            <w:r w:rsidR="00874EED">
              <w:t>partner,</w:t>
            </w:r>
            <w:r>
              <w:t xml:space="preserve"> or officer of the fund's manager or of any member of the manager's group with the following exceptions: </w:t>
            </w:r>
          </w:p>
          <w:p w14:paraId="15B5B8E9" w14:textId="77777777" w:rsidR="00A844C3" w:rsidRPr="0000232D" w:rsidRDefault="00A844C3" w:rsidP="001B14A3">
            <w:pPr>
              <w:pStyle w:val="ListBullet2"/>
              <w:numPr>
                <w:ilvl w:val="0"/>
                <w:numId w:val="0"/>
              </w:numPr>
              <w:spacing w:after="120"/>
              <w:ind w:left="720"/>
              <w:rPr>
                <w:b/>
                <w:lang w:val="en-GB"/>
              </w:rPr>
            </w:pPr>
            <w:r>
              <w:t xml:space="preserve">The SBAI acknowledges that in certain structures, an entity within a manager’s group may act as the governing body to certain funds managed (e.g., as a general partner to a limited partnership fund). Where an individual acts as a director of such an entity and, but for this, would be considered independent of the manager, then, such an individual may still be viewed as independent for the purposes of this Standard.  </w:t>
            </w:r>
          </w:p>
          <w:p w14:paraId="77837598" w14:textId="77777777" w:rsidR="00A844C3" w:rsidRDefault="00A844C3" w:rsidP="001B14A3">
            <w:pPr>
              <w:pStyle w:val="ListBullet"/>
              <w:numPr>
                <w:ilvl w:val="0"/>
                <w:numId w:val="0"/>
              </w:numPr>
              <w:spacing w:after="120"/>
              <w:ind w:left="360" w:hanging="360"/>
              <w:rPr>
                <w:b/>
                <w:lang w:val="en-GB"/>
              </w:rPr>
            </w:pPr>
            <w:r>
              <w:rPr>
                <w:b/>
                <w:lang w:val="en-GB"/>
              </w:rPr>
              <w:t>21.3 M</w:t>
            </w:r>
            <w:r w:rsidRPr="00B325C2">
              <w:rPr>
                <w:b/>
                <w:lang w:val="en-GB"/>
              </w:rPr>
              <w:t xml:space="preserve">embers of the fund governing body </w:t>
            </w:r>
            <w:r>
              <w:rPr>
                <w:b/>
                <w:lang w:val="en-GB"/>
              </w:rPr>
              <w:t xml:space="preserve">should have </w:t>
            </w:r>
            <w:r w:rsidRPr="00B325C2">
              <w:rPr>
                <w:b/>
                <w:lang w:val="en-GB"/>
              </w:rPr>
              <w:t xml:space="preserve">suitable experience and integrity </w:t>
            </w:r>
            <w:proofErr w:type="gramStart"/>
            <w:r>
              <w:rPr>
                <w:b/>
                <w:lang w:val="en-GB"/>
              </w:rPr>
              <w:t xml:space="preserve">in order </w:t>
            </w:r>
            <w:r w:rsidRPr="00B325C2">
              <w:rPr>
                <w:b/>
                <w:lang w:val="en-GB"/>
              </w:rPr>
              <w:t>to</w:t>
            </w:r>
            <w:proofErr w:type="gramEnd"/>
            <w:r w:rsidRPr="00B325C2">
              <w:rPr>
                <w:b/>
                <w:lang w:val="en-GB"/>
              </w:rPr>
              <w:t xml:space="preserve"> discharge effectively </w:t>
            </w:r>
            <w:r>
              <w:rPr>
                <w:b/>
                <w:lang w:val="en-GB"/>
              </w:rPr>
              <w:t>their</w:t>
            </w:r>
            <w:r w:rsidRPr="00B325C2">
              <w:rPr>
                <w:b/>
                <w:lang w:val="en-GB"/>
              </w:rPr>
              <w:t xml:space="preserve"> role with the appropriate level of independence.</w:t>
            </w:r>
            <w:r>
              <w:rPr>
                <w:rStyle w:val="FootnoteReference"/>
                <w:b/>
                <w:lang w:val="en-GB"/>
              </w:rPr>
              <w:footnoteReference w:id="40"/>
            </w:r>
          </w:p>
          <w:p w14:paraId="094335D8" w14:textId="77777777" w:rsidR="00A844C3" w:rsidRDefault="00A844C3" w:rsidP="001B14A3">
            <w:pPr>
              <w:pStyle w:val="ListBullet"/>
              <w:numPr>
                <w:ilvl w:val="0"/>
                <w:numId w:val="0"/>
              </w:numPr>
              <w:spacing w:after="120"/>
              <w:ind w:left="360" w:hanging="360"/>
              <w:rPr>
                <w:b/>
                <w:lang w:val="en-GB"/>
              </w:rPr>
            </w:pPr>
            <w:r>
              <w:rPr>
                <w:b/>
                <w:lang w:val="en-GB"/>
              </w:rPr>
              <w:t xml:space="preserve">21.4 </w:t>
            </w:r>
            <w:r w:rsidRPr="00B415EB">
              <w:rPr>
                <w:b/>
                <w:lang w:val="en-GB"/>
              </w:rPr>
              <w:t>The composition of the fund governing body and the governance processes in place should be monitored and</w:t>
            </w:r>
            <w:r>
              <w:rPr>
                <w:b/>
                <w:lang w:val="en-GB"/>
              </w:rPr>
              <w:t>, if necessary,</w:t>
            </w:r>
            <w:r w:rsidRPr="00B415EB">
              <w:rPr>
                <w:b/>
                <w:lang w:val="en-GB"/>
              </w:rPr>
              <w:t xml:space="preserve"> adjusted throughout the life of the fund to ensure that they remain effective and appropriate </w:t>
            </w:r>
            <w:proofErr w:type="gramStart"/>
            <w:r w:rsidRPr="00B415EB">
              <w:rPr>
                <w:b/>
                <w:lang w:val="en-GB"/>
              </w:rPr>
              <w:t>in light of</w:t>
            </w:r>
            <w:proofErr w:type="gramEnd"/>
            <w:r w:rsidRPr="00B415EB">
              <w:rPr>
                <w:b/>
                <w:lang w:val="en-GB"/>
              </w:rPr>
              <w:t>, among</w:t>
            </w:r>
            <w:r>
              <w:rPr>
                <w:b/>
                <w:lang w:val="en-GB"/>
              </w:rPr>
              <w:t>st</w:t>
            </w:r>
            <w:r w:rsidRPr="00B415EB">
              <w:rPr>
                <w:b/>
                <w:lang w:val="en-GB"/>
              </w:rPr>
              <w:t xml:space="preserve"> other things, changes in the nature of the fund and its investors.</w:t>
            </w:r>
            <w:r>
              <w:rPr>
                <w:rStyle w:val="FootnoteReference"/>
                <w:b/>
                <w:lang w:val="en-GB"/>
              </w:rPr>
              <w:footnoteReference w:id="41"/>
            </w:r>
            <w:r w:rsidRPr="00B415EB">
              <w:rPr>
                <w:b/>
                <w:lang w:val="en-GB"/>
              </w:rPr>
              <w:t xml:space="preserve"> </w:t>
            </w:r>
          </w:p>
          <w:p w14:paraId="7275490D" w14:textId="77777777" w:rsidR="00A844C3" w:rsidRDefault="00A844C3" w:rsidP="001B14A3">
            <w:pPr>
              <w:pStyle w:val="ListBullet"/>
              <w:numPr>
                <w:ilvl w:val="0"/>
                <w:numId w:val="0"/>
              </w:numPr>
              <w:spacing w:after="120"/>
              <w:ind w:left="360" w:hanging="360"/>
              <w:rPr>
                <w:b/>
                <w:lang w:val="en-GB"/>
              </w:rPr>
            </w:pPr>
            <w:r>
              <w:rPr>
                <w:b/>
                <w:lang w:val="en-GB"/>
              </w:rPr>
              <w:t xml:space="preserve">21.5 </w:t>
            </w:r>
            <w:r w:rsidRPr="004C5277">
              <w:rPr>
                <w:b/>
                <w:lang w:val="en-GB"/>
              </w:rPr>
              <w:t>The fund governing body should meet regularly and conduct such meetings in a manner which safeguards the intended legal, regulato</w:t>
            </w:r>
            <w:r>
              <w:rPr>
                <w:b/>
                <w:lang w:val="en-GB"/>
              </w:rPr>
              <w:t xml:space="preserve">ry and tax status of the fund. </w:t>
            </w:r>
            <w:r w:rsidRPr="004C5277">
              <w:rPr>
                <w:b/>
                <w:lang w:val="en-GB"/>
              </w:rPr>
              <w:t>Such meetings should be appropriately documented.</w:t>
            </w:r>
            <w:r>
              <w:rPr>
                <w:rStyle w:val="FootnoteReference"/>
                <w:b/>
                <w:lang w:val="en-GB"/>
              </w:rPr>
              <w:footnoteReference w:id="42"/>
            </w:r>
          </w:p>
          <w:p w14:paraId="188070A9" w14:textId="77777777" w:rsidR="00A844C3" w:rsidRPr="00075307" w:rsidRDefault="00A844C3" w:rsidP="001B14A3">
            <w:pPr>
              <w:pStyle w:val="ListBullet2"/>
              <w:spacing w:after="120"/>
              <w:rPr>
                <w:lang w:val="en-GB"/>
              </w:rPr>
            </w:pPr>
            <w:r w:rsidRPr="00B325C2">
              <w:rPr>
                <w:lang w:val="en-GB"/>
              </w:rPr>
              <w:t xml:space="preserve">In normal circumstances the </w:t>
            </w:r>
            <w:r>
              <w:rPr>
                <w:lang w:val="en-GB"/>
              </w:rPr>
              <w:t>SBAI</w:t>
            </w:r>
            <w:r w:rsidRPr="00B325C2">
              <w:rPr>
                <w:lang w:val="en-GB"/>
              </w:rPr>
              <w:t xml:space="preserve"> would expect fund governing bodies to meet at least quarterly.</w:t>
            </w:r>
          </w:p>
          <w:p w14:paraId="126EBD78" w14:textId="65AF5215" w:rsidR="00A844C3" w:rsidRDefault="00A844C3" w:rsidP="001B14A3">
            <w:pPr>
              <w:pStyle w:val="ListBullet"/>
              <w:numPr>
                <w:ilvl w:val="0"/>
                <w:numId w:val="0"/>
              </w:numPr>
              <w:spacing w:after="120"/>
              <w:ind w:left="360" w:hanging="360"/>
              <w:rPr>
                <w:b/>
                <w:lang w:val="en-GB"/>
              </w:rPr>
            </w:pPr>
            <w:r>
              <w:rPr>
                <w:b/>
                <w:lang w:val="en-GB"/>
              </w:rPr>
              <w:t xml:space="preserve">21.6 </w:t>
            </w:r>
            <w:r w:rsidRPr="004C5277">
              <w:rPr>
                <w:b/>
                <w:lang w:val="en-GB"/>
              </w:rPr>
              <w:t xml:space="preserve">Careful consideration should be given to the extent to which the adoption by the fund governing body of all or parts of established codes of corporate governance or </w:t>
            </w:r>
            <w:proofErr w:type="gramStart"/>
            <w:r w:rsidRPr="004C5277">
              <w:rPr>
                <w:b/>
                <w:lang w:val="en-GB"/>
              </w:rPr>
              <w:t>other</w:t>
            </w:r>
            <w:proofErr w:type="gramEnd"/>
            <w:r w:rsidRPr="004C5277">
              <w:rPr>
                <w:b/>
                <w:lang w:val="en-GB"/>
              </w:rPr>
              <w:t xml:space="preserve"> director guidance is appropriate.</w:t>
            </w:r>
            <w:r>
              <w:t xml:space="preserve"> </w:t>
            </w:r>
            <w:r>
              <w:fldChar w:fldCharType="begin"/>
            </w:r>
            <w:r>
              <w:instrText xml:space="preserve"> NOTEREF _Ref187222763 \h  \* MERGEFORMAT </w:instrText>
            </w:r>
            <w:r>
              <w:fldChar w:fldCharType="separate"/>
            </w:r>
            <w:r w:rsidR="001F7CB0" w:rsidRPr="001F7CB0">
              <w:rPr>
                <w:b/>
                <w:vertAlign w:val="superscript"/>
                <w:lang w:val="en-GB"/>
              </w:rPr>
              <w:t>44</w:t>
            </w:r>
            <w:r>
              <w:fldChar w:fldCharType="end"/>
            </w:r>
            <w:r w:rsidRPr="004C5277">
              <w:rPr>
                <w:b/>
                <w:lang w:val="en-GB"/>
              </w:rPr>
              <w:t xml:space="preserve"> Fund governing bodies should be adequately resourced </w:t>
            </w:r>
            <w:proofErr w:type="gramStart"/>
            <w:r w:rsidRPr="004C5277">
              <w:rPr>
                <w:b/>
                <w:lang w:val="en-GB"/>
              </w:rPr>
              <w:t>in order to</w:t>
            </w:r>
            <w:proofErr w:type="gramEnd"/>
            <w:r w:rsidRPr="004C5277">
              <w:rPr>
                <w:b/>
                <w:lang w:val="en-GB"/>
              </w:rPr>
              <w:t xml:space="preserve"> comply with any such corporate governance code or director guidance.</w:t>
            </w:r>
            <w:r>
              <w:rPr>
                <w:rStyle w:val="FootnoteReference"/>
                <w:b/>
                <w:lang w:val="en-GB"/>
              </w:rPr>
              <w:footnoteReference w:id="43"/>
            </w:r>
            <w:r w:rsidRPr="00B325C2" w:rsidDel="004C5277">
              <w:rPr>
                <w:b/>
                <w:lang w:val="en-GB"/>
              </w:rPr>
              <w:t xml:space="preserve"> </w:t>
            </w:r>
            <w:r w:rsidRPr="00B325C2">
              <w:rPr>
                <w:b/>
                <w:lang w:val="en-GB"/>
              </w:rPr>
              <w:t xml:space="preserve"> This includes ensuring that the fund governing body has adequate resources to comply with any such corporate governance code or director guidance.</w:t>
            </w:r>
          </w:p>
          <w:p w14:paraId="3D674F4E" w14:textId="77777777" w:rsidR="00A844C3" w:rsidRPr="00075307" w:rsidRDefault="00A844C3" w:rsidP="001B14A3">
            <w:pPr>
              <w:spacing w:after="120"/>
              <w:ind w:left="360"/>
            </w:pPr>
            <w:r w:rsidRPr="00B325C2">
              <w:t xml:space="preserve">Whilst the </w:t>
            </w:r>
            <w:r>
              <w:t>SBAI</w:t>
            </w:r>
            <w:r w:rsidRPr="00B325C2">
              <w:t xml:space="preserve"> recognises that managers cannot legally require independent boards to adopt </w:t>
            </w:r>
            <w:r>
              <w:t>good</w:t>
            </w:r>
            <w:r w:rsidRPr="00B325C2">
              <w:t xml:space="preserve"> practice principles for their governance, they should nevertheless use their influence to encourage adoption and compliance. Naturally, the </w:t>
            </w:r>
            <w:r>
              <w:t>SBAI</w:t>
            </w:r>
            <w:r w:rsidRPr="00B325C2">
              <w:t xml:space="preserve"> is also aware that the Standards in no way override legal, technical, contractual and tax realities.</w:t>
            </w:r>
          </w:p>
          <w:p w14:paraId="3F5A2B58" w14:textId="77777777" w:rsidR="00A844C3" w:rsidRPr="00C73A42" w:rsidRDefault="00A844C3" w:rsidP="001B14A3">
            <w:pPr>
              <w:pStyle w:val="ListBullet2"/>
              <w:numPr>
                <w:ilvl w:val="0"/>
                <w:numId w:val="0"/>
              </w:numPr>
              <w:spacing w:after="120" w:line="240" w:lineRule="auto"/>
              <w:ind w:left="360"/>
              <w:rPr>
                <w:lang w:val="en-GB"/>
              </w:rPr>
            </w:pPr>
            <w:r w:rsidRPr="00C73A42">
              <w:rPr>
                <w:lang w:val="en-GB"/>
              </w:rPr>
              <w:t>As guidance to managers when considering which corporate governance code or director guidance are appropriate for fund governing bodies to adopt, the SBAI has set out below a selection of those principles contained in the corporate governance codes and director guidance published by AIC and AIMA which it considers to be of greatest importance</w:t>
            </w:r>
            <w:bookmarkStart w:id="21" w:name="_Ref187222763"/>
            <w:r w:rsidRPr="00C73A42">
              <w:rPr>
                <w:rStyle w:val="FootnoteReference"/>
                <w:lang w:val="en-GB"/>
              </w:rPr>
              <w:footnoteReference w:id="44"/>
            </w:r>
            <w:bookmarkEnd w:id="21"/>
            <w:r w:rsidRPr="00C73A42">
              <w:rPr>
                <w:lang w:val="en-GB"/>
              </w:rPr>
              <w:t xml:space="preserve">. The SBAI recognises, however, that not </w:t>
            </w:r>
            <w:proofErr w:type="gramStart"/>
            <w:r w:rsidRPr="00C73A42">
              <w:rPr>
                <w:lang w:val="en-GB"/>
              </w:rPr>
              <w:t>all of</w:t>
            </w:r>
            <w:proofErr w:type="gramEnd"/>
            <w:r w:rsidRPr="00C73A42">
              <w:rPr>
                <w:lang w:val="en-GB"/>
              </w:rPr>
              <w:t xml:space="preserve"> these principles will be applicable to all types of alternative investment funds:</w:t>
            </w:r>
          </w:p>
          <w:p w14:paraId="013D97CE" w14:textId="32950631" w:rsidR="00A844C3" w:rsidRPr="00C73A42" w:rsidRDefault="001634FB" w:rsidP="001B14A3">
            <w:pPr>
              <w:pStyle w:val="ListBullet2"/>
              <w:spacing w:after="120" w:line="240" w:lineRule="auto"/>
              <w:rPr>
                <w:lang w:val="en-GB"/>
              </w:rPr>
            </w:pPr>
            <w:r>
              <w:rPr>
                <w:lang w:val="en-GB"/>
              </w:rPr>
              <w:lastRenderedPageBreak/>
              <w:t>D</w:t>
            </w:r>
            <w:r w:rsidR="00A844C3" w:rsidRPr="00C73A42">
              <w:rPr>
                <w:lang w:val="en-GB"/>
              </w:rPr>
              <w:t xml:space="preserve">irectors’ potential conflicts of interest should be disclosed fully to the fund’s investors (through the fund’s offering documents) and the </w:t>
            </w:r>
            <w:proofErr w:type="gramStart"/>
            <w:r w:rsidR="00A844C3" w:rsidRPr="00C73A42">
              <w:rPr>
                <w:lang w:val="en-GB"/>
              </w:rPr>
              <w:t>board as a whole</w:t>
            </w:r>
            <w:proofErr w:type="gramEnd"/>
            <w:r w:rsidR="00A844C3" w:rsidRPr="00C73A42">
              <w:rPr>
                <w:lang w:val="en-GB"/>
              </w:rPr>
              <w:t xml:space="preserve"> (at the first available meeting)</w:t>
            </w:r>
            <w:r>
              <w:rPr>
                <w:lang w:val="en-GB"/>
              </w:rPr>
              <w:t>,</w:t>
            </w:r>
          </w:p>
          <w:p w14:paraId="32F55C3B" w14:textId="3E7B3636" w:rsidR="00A844C3" w:rsidRPr="00B325C2" w:rsidRDefault="001634FB" w:rsidP="001B14A3">
            <w:pPr>
              <w:pStyle w:val="ListBullet2"/>
              <w:spacing w:after="120" w:line="240" w:lineRule="auto"/>
              <w:rPr>
                <w:lang w:val="en-GB"/>
              </w:rPr>
            </w:pPr>
            <w:r>
              <w:rPr>
                <w:lang w:val="en-GB"/>
              </w:rPr>
              <w:t>F</w:t>
            </w:r>
            <w:r w:rsidR="00A844C3" w:rsidRPr="00C73A42">
              <w:rPr>
                <w:lang w:val="en-GB"/>
              </w:rPr>
              <w:t>und boards should have sufficient collective expertise, availability and be otherwise qualified to understand the investment policy and strategies of the fund and the attendant risks (AIC 6). Expertise</w:t>
            </w:r>
            <w:r w:rsidR="00A844C3" w:rsidRPr="00B325C2">
              <w:rPr>
                <w:lang w:val="en-GB"/>
              </w:rPr>
              <w:t xml:space="preserve"> should include areas</w:t>
            </w:r>
            <w:r w:rsidR="00A844C3">
              <w:rPr>
                <w:lang w:val="en-GB"/>
              </w:rPr>
              <w:t>,</w:t>
            </w:r>
            <w:r w:rsidR="00A844C3" w:rsidRPr="00B325C2">
              <w:rPr>
                <w:lang w:val="en-GB"/>
              </w:rPr>
              <w:t xml:space="preserve"> such as investment management, regulatory issues, accounting, </w:t>
            </w:r>
            <w:r w:rsidRPr="00B325C2">
              <w:rPr>
                <w:lang w:val="en-GB"/>
              </w:rPr>
              <w:t>administration,</w:t>
            </w:r>
            <w:r w:rsidR="00A844C3" w:rsidRPr="00B325C2">
              <w:rPr>
                <w:lang w:val="en-GB"/>
              </w:rPr>
              <w:t xml:space="preserve"> and technical understanding of the fund’s strategies</w:t>
            </w:r>
            <w:r>
              <w:rPr>
                <w:lang w:val="en-GB"/>
              </w:rPr>
              <w:t>,</w:t>
            </w:r>
          </w:p>
          <w:p w14:paraId="09E0053A" w14:textId="0ECE383A" w:rsidR="00A844C3" w:rsidRPr="00B325C2" w:rsidRDefault="001634FB" w:rsidP="001B14A3">
            <w:pPr>
              <w:pStyle w:val="ListBullet2"/>
              <w:spacing w:after="120" w:line="240" w:lineRule="auto"/>
              <w:rPr>
                <w:lang w:val="en-GB"/>
              </w:rPr>
            </w:pPr>
            <w:r>
              <w:rPr>
                <w:lang w:val="en-GB"/>
              </w:rPr>
              <w:t>T</w:t>
            </w:r>
            <w:r w:rsidR="00A844C3" w:rsidRPr="00B325C2">
              <w:rPr>
                <w:lang w:val="en-GB"/>
              </w:rPr>
              <w:t>he board should put in place a policy on tenure of directors and disclose it in the fund’s offering documents and its annual report (AIC 4)</w:t>
            </w:r>
            <w:r>
              <w:rPr>
                <w:lang w:val="en-GB"/>
              </w:rPr>
              <w:t>,</w:t>
            </w:r>
          </w:p>
          <w:p w14:paraId="72352D1D" w14:textId="44FE642C" w:rsidR="00A844C3" w:rsidRPr="00B325C2" w:rsidRDefault="001634FB" w:rsidP="001B14A3">
            <w:pPr>
              <w:pStyle w:val="ListBullet2"/>
              <w:spacing w:after="120" w:line="240" w:lineRule="auto"/>
              <w:rPr>
                <w:lang w:val="en-GB"/>
              </w:rPr>
            </w:pPr>
            <w:r>
              <w:rPr>
                <w:lang w:val="en-GB"/>
              </w:rPr>
              <w:t>D</w:t>
            </w:r>
            <w:r w:rsidR="00A844C3" w:rsidRPr="00B325C2">
              <w:rPr>
                <w:lang w:val="en-GB"/>
              </w:rPr>
              <w:t>irectors’ remuneration should reflect their duties and responsibilities, and the value of their time spent (AIC 8)</w:t>
            </w:r>
            <w:r>
              <w:rPr>
                <w:lang w:val="en-GB"/>
              </w:rPr>
              <w:t>,</w:t>
            </w:r>
          </w:p>
          <w:p w14:paraId="7D10AC14" w14:textId="2CDE8CC7" w:rsidR="00A844C3" w:rsidRPr="00B325C2" w:rsidRDefault="001634FB" w:rsidP="001B14A3">
            <w:pPr>
              <w:pStyle w:val="ListBullet2"/>
              <w:spacing w:after="120" w:line="240" w:lineRule="auto"/>
              <w:rPr>
                <w:lang w:val="en-GB"/>
              </w:rPr>
            </w:pPr>
            <w:r>
              <w:rPr>
                <w:lang w:val="en-GB"/>
              </w:rPr>
              <w:t>R</w:t>
            </w:r>
            <w:r w:rsidR="00A844C3" w:rsidRPr="00B325C2">
              <w:rPr>
                <w:lang w:val="en-GB"/>
              </w:rPr>
              <w:t xml:space="preserve">egular face to face board meetings should be held, preferably </w:t>
            </w:r>
            <w:r w:rsidR="00A844C3" w:rsidRPr="00C73A42">
              <w:rPr>
                <w:lang w:val="en-GB"/>
              </w:rPr>
              <w:t>quarterly. Typical</w:t>
            </w:r>
            <w:r w:rsidR="00A844C3" w:rsidRPr="00B325C2">
              <w:rPr>
                <w:lang w:val="en-GB"/>
              </w:rPr>
              <w:t xml:space="preserve"> board agendas may include approval of accounts, investment performance review, review of any relevant regulatory breaches and review of the performance of third</w:t>
            </w:r>
            <w:r w:rsidR="00A844C3">
              <w:rPr>
                <w:lang w:val="en-GB"/>
              </w:rPr>
              <w:t>-</w:t>
            </w:r>
            <w:r w:rsidR="00A844C3" w:rsidRPr="00B325C2">
              <w:rPr>
                <w:lang w:val="en-GB"/>
              </w:rPr>
              <w:t>party service providers</w:t>
            </w:r>
            <w:r w:rsidR="00A844C3">
              <w:rPr>
                <w:lang w:val="en-GB"/>
              </w:rPr>
              <w:t>,</w:t>
            </w:r>
            <w:r w:rsidR="00A844C3" w:rsidRPr="00B325C2">
              <w:rPr>
                <w:lang w:val="en-GB"/>
              </w:rPr>
              <w:t xml:space="preserve"> such as the administrator and prime broker(s), review of the manager’s risk management procedures</w:t>
            </w:r>
            <w:r>
              <w:rPr>
                <w:lang w:val="en-GB"/>
              </w:rPr>
              <w:t>,</w:t>
            </w:r>
          </w:p>
          <w:p w14:paraId="03A66B23" w14:textId="3A8CBA2A" w:rsidR="00A844C3" w:rsidRPr="00B325C2" w:rsidRDefault="001634FB" w:rsidP="001B14A3">
            <w:pPr>
              <w:pStyle w:val="ListBullet2"/>
              <w:spacing w:after="120" w:line="240" w:lineRule="auto"/>
              <w:rPr>
                <w:lang w:val="en-GB"/>
              </w:rPr>
            </w:pPr>
            <w:r>
              <w:rPr>
                <w:lang w:val="en-GB"/>
              </w:rPr>
              <w:t>T</w:t>
            </w:r>
            <w:r w:rsidR="00A844C3" w:rsidRPr="00B325C2">
              <w:rPr>
                <w:lang w:val="en-GB"/>
              </w:rPr>
              <w:t>here should be regular review of adherence by the manager to investment policy and investment restrictions, review and approval of side letters, compliance and valuation functions and regular review of business continuity</w:t>
            </w:r>
            <w:r>
              <w:rPr>
                <w:lang w:val="en-GB"/>
              </w:rPr>
              <w:t>,</w:t>
            </w:r>
          </w:p>
          <w:p w14:paraId="2268D889" w14:textId="58E0109E" w:rsidR="00A844C3" w:rsidRPr="00B325C2" w:rsidRDefault="001634FB" w:rsidP="001B14A3">
            <w:pPr>
              <w:pStyle w:val="ListBullet2"/>
              <w:spacing w:after="120" w:line="240" w:lineRule="auto"/>
              <w:rPr>
                <w:lang w:val="en-GB"/>
              </w:rPr>
            </w:pPr>
            <w:r>
              <w:rPr>
                <w:lang w:val="en-GB"/>
              </w:rPr>
              <w:t>T</w:t>
            </w:r>
            <w:r w:rsidR="00A844C3" w:rsidRPr="00B325C2">
              <w:rPr>
                <w:lang w:val="en-GB"/>
              </w:rPr>
              <w:t>he manager, external valuation agent and administrator should be required to report regularly to the fund directors regarding performance, subscriptions, redemptions and adherence to investment policy and restrictions and applicable anti-money laundering requirements (including direct reporting from the compliance officer and any in-house valuation function)</w:t>
            </w:r>
            <w:r>
              <w:rPr>
                <w:lang w:val="en-GB"/>
              </w:rPr>
              <w:t>,</w:t>
            </w:r>
          </w:p>
          <w:p w14:paraId="2B47C9CD" w14:textId="09C6A8D9" w:rsidR="00A844C3" w:rsidRPr="00B325C2" w:rsidRDefault="001634FB" w:rsidP="001B14A3">
            <w:pPr>
              <w:pStyle w:val="ListBullet2"/>
              <w:spacing w:after="120" w:line="240" w:lineRule="auto"/>
              <w:rPr>
                <w:lang w:val="en-GB"/>
              </w:rPr>
            </w:pPr>
            <w:r>
              <w:rPr>
                <w:lang w:val="en-GB"/>
              </w:rPr>
              <w:t>T</w:t>
            </w:r>
            <w:r w:rsidR="00A844C3" w:rsidRPr="00B325C2">
              <w:rPr>
                <w:lang w:val="en-GB"/>
              </w:rPr>
              <w:t>he fund directors should be made aware of their personal responsibility for the issuance and legality of side letters or discretionary waivers (AIMA 6.9 and 6.11)</w:t>
            </w:r>
            <w:r>
              <w:rPr>
                <w:lang w:val="en-GB"/>
              </w:rPr>
              <w:t>,</w:t>
            </w:r>
            <w:r w:rsidR="00A844C3" w:rsidRPr="00B325C2">
              <w:rPr>
                <w:lang w:val="en-GB"/>
              </w:rPr>
              <w:t xml:space="preserve"> and</w:t>
            </w:r>
          </w:p>
          <w:p w14:paraId="7C1582A1" w14:textId="5DF21E3A" w:rsidR="00A844C3" w:rsidRPr="00075307" w:rsidRDefault="001634FB" w:rsidP="001B14A3">
            <w:pPr>
              <w:pStyle w:val="ListBullet2"/>
              <w:spacing w:after="120" w:line="240" w:lineRule="auto"/>
              <w:rPr>
                <w:lang w:val="en-GB"/>
              </w:rPr>
            </w:pPr>
            <w:r>
              <w:rPr>
                <w:lang w:val="en-GB"/>
              </w:rPr>
              <w:t>T</w:t>
            </w:r>
            <w:r w:rsidR="00A844C3" w:rsidRPr="00B325C2">
              <w:rPr>
                <w:lang w:val="en-GB"/>
              </w:rPr>
              <w:t>he directors should consider whether the fund should take out D&amp;O insurance proportional to any liabilities relating to the directors’ role with respect to the fund.</w:t>
            </w:r>
          </w:p>
          <w:p w14:paraId="60414D6D" w14:textId="77777777" w:rsidR="00A844C3" w:rsidRDefault="00A844C3" w:rsidP="001B14A3">
            <w:pPr>
              <w:pStyle w:val="ListBullet"/>
              <w:numPr>
                <w:ilvl w:val="0"/>
                <w:numId w:val="0"/>
              </w:numPr>
              <w:spacing w:after="120"/>
              <w:ind w:left="360" w:hanging="360"/>
              <w:rPr>
                <w:b/>
                <w:lang w:val="en-GB"/>
              </w:rPr>
            </w:pPr>
            <w:r>
              <w:rPr>
                <w:b/>
                <w:lang w:val="en-GB"/>
              </w:rPr>
              <w:t>21.7 R</w:t>
            </w:r>
            <w:r w:rsidRPr="00B325C2">
              <w:rPr>
                <w:b/>
                <w:lang w:val="en-GB"/>
              </w:rPr>
              <w:t>egular reports on compliance with laws and regulations (</w:t>
            </w:r>
            <w:proofErr w:type="gramStart"/>
            <w:r w:rsidRPr="00B325C2">
              <w:rPr>
                <w:b/>
                <w:lang w:val="en-GB"/>
              </w:rPr>
              <w:t>in particular those</w:t>
            </w:r>
            <w:proofErr w:type="gramEnd"/>
            <w:r w:rsidRPr="00B325C2">
              <w:rPr>
                <w:b/>
                <w:lang w:val="en-GB"/>
              </w:rPr>
              <w:t xml:space="preserve"> relating to anti-money laundering) applicable to activities which are performed by the administrator</w:t>
            </w:r>
            <w:r>
              <w:rPr>
                <w:b/>
                <w:lang w:val="en-GB"/>
              </w:rPr>
              <w:t xml:space="preserve"> </w:t>
            </w:r>
            <w:r w:rsidRPr="00B325C2">
              <w:rPr>
                <w:b/>
                <w:lang w:val="en-GB"/>
              </w:rPr>
              <w:t>on behalf of the fund</w:t>
            </w:r>
            <w:r>
              <w:rPr>
                <w:b/>
                <w:lang w:val="en-GB"/>
              </w:rPr>
              <w:t xml:space="preserve"> should be obtained by the fund governing body from the fund’s administrator</w:t>
            </w:r>
            <w:r w:rsidRPr="00B325C2">
              <w:rPr>
                <w:b/>
                <w:lang w:val="en-GB"/>
              </w:rPr>
              <w:t>.</w:t>
            </w:r>
            <w:r>
              <w:rPr>
                <w:rStyle w:val="FootnoteReference"/>
                <w:b/>
                <w:lang w:val="en-GB"/>
              </w:rPr>
              <w:footnoteReference w:id="45"/>
            </w:r>
          </w:p>
        </w:tc>
      </w:tr>
    </w:tbl>
    <w:p w14:paraId="29B0A68B" w14:textId="77777777" w:rsidR="00193A0D" w:rsidRDefault="00193A0D" w:rsidP="00193A0D">
      <w:pPr>
        <w:spacing w:after="0"/>
      </w:pPr>
      <w:bookmarkStart w:id="22" w:name="_Toc181508707"/>
      <w:bookmarkStart w:id="23" w:name="_Toc185306182"/>
    </w:p>
    <w:p w14:paraId="097EF7F2" w14:textId="2719F3F4" w:rsidR="00A844C3" w:rsidRDefault="00A844C3" w:rsidP="00A844C3">
      <w:pPr>
        <w:pStyle w:val="Heading3"/>
      </w:pPr>
      <w:r w:rsidRPr="008A302C">
        <w:t>Fund Governance – Disclosure</w:t>
      </w:r>
      <w:bookmarkEnd w:id="22"/>
      <w:bookmarkEnd w:id="23"/>
      <w:r w:rsidRPr="008A302C">
        <w:t xml:space="preserve"> Standards and Guidance [22]</w:t>
      </w:r>
    </w:p>
    <w:p w14:paraId="66FAA8F2" w14:textId="77777777" w:rsidR="00A844C3" w:rsidRDefault="00A844C3" w:rsidP="00A844C3">
      <w:pPr>
        <w:spacing w:after="0"/>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5B443ACA" w14:textId="77777777" w:rsidTr="001B14A3">
        <w:trPr>
          <w:trHeight w:val="5629"/>
        </w:trPr>
        <w:tc>
          <w:tcPr>
            <w:tcW w:w="9461" w:type="dxa"/>
            <w:shd w:val="clear" w:color="auto" w:fill="F7F9FB" w:themeFill="accent1" w:themeFillTint="33"/>
          </w:tcPr>
          <w:p w14:paraId="3930484C" w14:textId="77777777" w:rsidR="00A844C3" w:rsidRDefault="00A844C3" w:rsidP="001B14A3">
            <w:pPr>
              <w:pStyle w:val="ListBullet"/>
              <w:keepNext/>
              <w:keepLines/>
              <w:numPr>
                <w:ilvl w:val="0"/>
                <w:numId w:val="0"/>
              </w:numPr>
              <w:ind w:left="360" w:hanging="360"/>
              <w:rPr>
                <w:b/>
                <w:lang w:val="en-GB"/>
              </w:rPr>
            </w:pPr>
            <w:r>
              <w:rPr>
                <w:b/>
                <w:lang w:val="en-GB"/>
              </w:rPr>
              <w:lastRenderedPageBreak/>
              <w:t>22.1 D</w:t>
            </w:r>
            <w:r w:rsidRPr="00B325C2">
              <w:rPr>
                <w:b/>
                <w:lang w:val="en-GB"/>
              </w:rPr>
              <w:t xml:space="preserve">etails of the fund governance structure which is put in place </w:t>
            </w:r>
            <w:r>
              <w:rPr>
                <w:b/>
                <w:lang w:val="en-GB"/>
              </w:rPr>
              <w:t xml:space="preserve">should be disclosed </w:t>
            </w:r>
            <w:r w:rsidRPr="00B325C2">
              <w:rPr>
                <w:b/>
                <w:lang w:val="en-GB"/>
              </w:rPr>
              <w:t>in the fund’s offering documents.</w:t>
            </w:r>
            <w:r>
              <w:rPr>
                <w:rStyle w:val="FootnoteReference"/>
                <w:b/>
                <w:lang w:val="en-GB"/>
              </w:rPr>
              <w:footnoteReference w:id="46"/>
            </w:r>
          </w:p>
          <w:p w14:paraId="0C52532B" w14:textId="77777777" w:rsidR="00A844C3" w:rsidRPr="00B325C2" w:rsidRDefault="00A844C3" w:rsidP="001B14A3">
            <w:pPr>
              <w:pStyle w:val="ListBullet"/>
              <w:keepNext/>
              <w:keepLines/>
              <w:numPr>
                <w:ilvl w:val="0"/>
                <w:numId w:val="0"/>
              </w:numPr>
              <w:spacing w:after="120" w:line="240" w:lineRule="auto"/>
              <w:ind w:left="357"/>
              <w:rPr>
                <w:lang w:val="en-GB"/>
              </w:rPr>
            </w:pPr>
            <w:r w:rsidRPr="00B325C2">
              <w:rPr>
                <w:lang w:val="en-GB"/>
              </w:rPr>
              <w:t>This could include elements such as:</w:t>
            </w:r>
          </w:p>
          <w:p w14:paraId="4D4D5E01" w14:textId="69A956F3" w:rsidR="00A844C3" w:rsidRDefault="001634FB" w:rsidP="00A844C3">
            <w:pPr>
              <w:pStyle w:val="ListBullet"/>
              <w:keepNext/>
              <w:keepLines/>
              <w:numPr>
                <w:ilvl w:val="0"/>
                <w:numId w:val="19"/>
              </w:numPr>
              <w:spacing w:after="120" w:line="240" w:lineRule="auto"/>
              <w:rPr>
                <w:lang w:val="en-GB"/>
              </w:rPr>
            </w:pPr>
            <w:r>
              <w:rPr>
                <w:lang w:val="en-GB"/>
              </w:rPr>
              <w:t>B</w:t>
            </w:r>
            <w:r w:rsidR="00A844C3" w:rsidRPr="00B325C2">
              <w:rPr>
                <w:lang w:val="en-GB"/>
              </w:rPr>
              <w:t>iographies of each director setting out details of his/her experience relevant to performing the role of a member of the fund governing body</w:t>
            </w:r>
            <w:r>
              <w:rPr>
                <w:lang w:val="en-GB"/>
              </w:rPr>
              <w:t>,</w:t>
            </w:r>
          </w:p>
          <w:p w14:paraId="2C1C2DD9" w14:textId="321FA70F" w:rsidR="00A844C3" w:rsidRPr="00B325C2" w:rsidRDefault="001634FB" w:rsidP="00A844C3">
            <w:pPr>
              <w:pStyle w:val="ListBullet"/>
              <w:keepNext/>
              <w:keepLines/>
              <w:numPr>
                <w:ilvl w:val="0"/>
                <w:numId w:val="19"/>
              </w:numPr>
              <w:spacing w:after="120" w:line="240" w:lineRule="auto"/>
              <w:rPr>
                <w:lang w:val="en-GB"/>
              </w:rPr>
            </w:pPr>
            <w:r>
              <w:rPr>
                <w:lang w:val="en-GB"/>
              </w:rPr>
              <w:t>A</w:t>
            </w:r>
            <w:r w:rsidR="00A844C3" w:rsidRPr="00B325C2">
              <w:rPr>
                <w:lang w:val="en-GB"/>
              </w:rPr>
              <w:t xml:space="preserve">n indication as to whether each member of the fund governing body is independent of the </w:t>
            </w:r>
            <w:r w:rsidR="00A844C3">
              <w:rPr>
                <w:lang w:val="en-GB"/>
              </w:rPr>
              <w:t>fund manager</w:t>
            </w:r>
            <w:r>
              <w:rPr>
                <w:lang w:val="en-GB"/>
              </w:rPr>
              <w:t>,</w:t>
            </w:r>
            <w:r w:rsidR="00A844C3" w:rsidRPr="00B325C2">
              <w:rPr>
                <w:lang w:val="en-GB"/>
              </w:rPr>
              <w:t xml:space="preserve"> and </w:t>
            </w:r>
          </w:p>
          <w:p w14:paraId="50179D5F" w14:textId="7AE2F0EE" w:rsidR="00A844C3" w:rsidRPr="00075307" w:rsidRDefault="001634FB" w:rsidP="00A844C3">
            <w:pPr>
              <w:pStyle w:val="ListBullet"/>
              <w:keepNext/>
              <w:keepLines/>
              <w:numPr>
                <w:ilvl w:val="0"/>
                <w:numId w:val="19"/>
              </w:numPr>
              <w:spacing w:after="120" w:line="240" w:lineRule="auto"/>
              <w:rPr>
                <w:lang w:val="en-GB"/>
              </w:rPr>
            </w:pPr>
            <w:r>
              <w:rPr>
                <w:lang w:val="en-GB"/>
              </w:rPr>
              <w:t>D</w:t>
            </w:r>
            <w:r w:rsidR="00A844C3" w:rsidRPr="00B325C2">
              <w:rPr>
                <w:lang w:val="en-GB"/>
              </w:rPr>
              <w:t>etails of any corporate governance code or director guidance with which the fund governing body has agreed to comply.</w:t>
            </w:r>
          </w:p>
          <w:p w14:paraId="34FD208D" w14:textId="77777777" w:rsidR="00A844C3" w:rsidRDefault="00A844C3" w:rsidP="001B14A3">
            <w:pPr>
              <w:pStyle w:val="ListBullet"/>
              <w:keepNext/>
              <w:keepLines/>
              <w:numPr>
                <w:ilvl w:val="0"/>
                <w:numId w:val="0"/>
              </w:numPr>
              <w:ind w:left="360" w:hanging="360"/>
              <w:rPr>
                <w:b/>
                <w:lang w:val="en-GB"/>
              </w:rPr>
            </w:pPr>
            <w:r>
              <w:rPr>
                <w:b/>
                <w:lang w:val="en-GB"/>
              </w:rPr>
              <w:t>22.2 T</w:t>
            </w:r>
            <w:r w:rsidRPr="00B325C2">
              <w:rPr>
                <w:b/>
                <w:lang w:val="en-GB"/>
              </w:rPr>
              <w:t xml:space="preserve">he existence of any class of shares which are held only by the manager (or an entity connected with the manager) and which carry voting rights affecting any aspect of decision-making in respect of the fund </w:t>
            </w:r>
            <w:r>
              <w:rPr>
                <w:b/>
                <w:lang w:val="en-GB"/>
              </w:rPr>
              <w:t xml:space="preserve">should be disclosed </w:t>
            </w:r>
            <w:r w:rsidRPr="00B325C2">
              <w:rPr>
                <w:b/>
                <w:lang w:val="en-GB"/>
              </w:rPr>
              <w:t>in the fund’s offering documents.</w:t>
            </w:r>
            <w:r>
              <w:rPr>
                <w:rStyle w:val="FootnoteReference"/>
                <w:b/>
                <w:lang w:val="en-GB"/>
              </w:rPr>
              <w:footnoteReference w:id="47"/>
            </w:r>
          </w:p>
          <w:p w14:paraId="6DD68F4C" w14:textId="77777777" w:rsidR="00A844C3" w:rsidRPr="00B325C2" w:rsidRDefault="00A844C3" w:rsidP="001B14A3">
            <w:pPr>
              <w:keepNext/>
              <w:keepLines/>
              <w:ind w:left="360"/>
              <w:rPr>
                <w:i/>
              </w:rPr>
            </w:pPr>
            <w:r w:rsidRPr="00B325C2">
              <w:rPr>
                <w:i/>
              </w:rPr>
              <w:t>Such classes of shares are often known as “founder” or “management” shares and carry rights to, among</w:t>
            </w:r>
            <w:r>
              <w:rPr>
                <w:i/>
              </w:rPr>
              <w:t>st</w:t>
            </w:r>
            <w:r w:rsidRPr="00B325C2">
              <w:rPr>
                <w:i/>
              </w:rPr>
              <w:t xml:space="preserve"> other things, vote (to the exclusion of any other shareholders) on the appointment or removal of directors and/or the termination of the investment management agreement between the fund and its manager.</w:t>
            </w:r>
          </w:p>
        </w:tc>
      </w:tr>
    </w:tbl>
    <w:p w14:paraId="63902BAD" w14:textId="45D40BEA" w:rsidR="00A844C3" w:rsidRPr="00D2569B" w:rsidRDefault="00A844C3" w:rsidP="001634FB">
      <w:pPr>
        <w:pStyle w:val="Heading2"/>
      </w:pPr>
      <w:r w:rsidRPr="00D2569B">
        <w:t>E.</w:t>
      </w:r>
      <w:r w:rsidR="00741426">
        <w:t xml:space="preserve"> </w:t>
      </w:r>
      <w:r w:rsidRPr="00D2569B">
        <w:t>Shareholder conduct, including activism [23]</w:t>
      </w:r>
      <w:r w:rsidR="00741426">
        <w:t xml:space="preserve"> </w:t>
      </w:r>
      <w:r w:rsidRPr="00D2569B">
        <w:t>-</w:t>
      </w:r>
      <w:r w:rsidR="00741426">
        <w:t xml:space="preserve"> </w:t>
      </w:r>
      <w:r w:rsidRPr="00D2569B">
        <w:t>[28]</w:t>
      </w:r>
    </w:p>
    <w:p w14:paraId="2CE872F3" w14:textId="77777777" w:rsidR="00A844C3" w:rsidRDefault="00A844C3" w:rsidP="00A844C3">
      <w:pPr>
        <w:spacing w:after="0"/>
      </w:pPr>
      <w:bookmarkStart w:id="24" w:name="_Toc181508713"/>
      <w:bookmarkStart w:id="25" w:name="_Toc185306188"/>
    </w:p>
    <w:p w14:paraId="6C8EABB7" w14:textId="77777777" w:rsidR="00A844C3" w:rsidRDefault="00A844C3" w:rsidP="00A844C3">
      <w:pPr>
        <w:spacing w:after="120"/>
      </w:pPr>
      <w:r>
        <w:t xml:space="preserve">This section focuses on fostering behaviours which contribute to market integrity and shareholder engagement. The following areas are covered: </w:t>
      </w:r>
    </w:p>
    <w:p w14:paraId="54106F2A" w14:textId="6C4AF212" w:rsidR="00A844C3" w:rsidRPr="005B2A1A" w:rsidRDefault="00A844C3" w:rsidP="00A7525D">
      <w:pPr>
        <w:pStyle w:val="ListParagraph"/>
        <w:numPr>
          <w:ilvl w:val="0"/>
          <w:numId w:val="20"/>
        </w:numPr>
        <w:spacing w:before="0" w:after="120" w:line="276" w:lineRule="auto"/>
        <w:contextualSpacing/>
        <w:rPr>
          <w:lang w:val="en-GB"/>
        </w:rPr>
      </w:pPr>
      <w:r w:rsidRPr="005B2A1A">
        <w:rPr>
          <w:lang w:val="en-GB"/>
        </w:rPr>
        <w:t>Prevention of Market Abuse [23] + [24]</w:t>
      </w:r>
      <w:r w:rsidR="005B2A1A" w:rsidRPr="005B2A1A">
        <w:rPr>
          <w:lang w:val="en-GB"/>
        </w:rPr>
        <w:t xml:space="preserve">, </w:t>
      </w:r>
      <w:r w:rsidRPr="005B2A1A">
        <w:rPr>
          <w:lang w:val="en-GB"/>
        </w:rPr>
        <w:t>Proxy Voting [25] + [26]</w:t>
      </w:r>
      <w:r w:rsidR="005B2A1A" w:rsidRPr="005B2A1A">
        <w:rPr>
          <w:lang w:val="en-GB"/>
        </w:rPr>
        <w:t xml:space="preserve">, </w:t>
      </w:r>
      <w:r w:rsidRPr="005B2A1A">
        <w:rPr>
          <w:lang w:val="en-GB"/>
        </w:rPr>
        <w:t>Disclosure of Derivative Positions [28]</w:t>
      </w:r>
      <w:r w:rsidR="005B2A1A" w:rsidRPr="005B2A1A">
        <w:rPr>
          <w:lang w:val="en-GB"/>
        </w:rPr>
        <w:t xml:space="preserve">, and </w:t>
      </w:r>
      <w:r w:rsidRPr="005B2A1A">
        <w:rPr>
          <w:lang w:val="en-GB"/>
        </w:rPr>
        <w:t>Borrowing Stock (to vote) [27]</w:t>
      </w:r>
    </w:p>
    <w:bookmarkEnd w:id="24"/>
    <w:bookmarkEnd w:id="25"/>
    <w:p w14:paraId="15857241" w14:textId="77777777" w:rsidR="00A844C3" w:rsidRDefault="00A844C3" w:rsidP="00A844C3">
      <w:pPr>
        <w:pStyle w:val="Heading3"/>
      </w:pPr>
      <w:r w:rsidRPr="00D1184D">
        <w:t xml:space="preserve">Prevention of </w:t>
      </w:r>
      <w:r>
        <w:t>M</w:t>
      </w:r>
      <w:r w:rsidRPr="00D1184D">
        <w:t xml:space="preserve">arket </w:t>
      </w:r>
      <w:r>
        <w:t>A</w:t>
      </w:r>
      <w:r w:rsidRPr="00D1184D">
        <w:t>buse – Governance Standards and Guidance [23]</w:t>
      </w:r>
    </w:p>
    <w:p w14:paraId="3B7CF2D8" w14:textId="77777777" w:rsidR="00A844C3" w:rsidRPr="00936224"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E8FF"/>
        <w:tblLook w:val="01E0" w:firstRow="1" w:lastRow="1" w:firstColumn="1" w:lastColumn="1" w:noHBand="0" w:noVBand="0"/>
      </w:tblPr>
      <w:tblGrid>
        <w:gridCol w:w="263"/>
        <w:gridCol w:w="1863"/>
        <w:gridCol w:w="6773"/>
        <w:gridCol w:w="283"/>
      </w:tblGrid>
      <w:tr w:rsidR="00A844C3" w:rsidRPr="00B325C2" w14:paraId="0E66F28D" w14:textId="77777777" w:rsidTr="001B14A3">
        <w:trPr>
          <w:trHeight w:val="1272"/>
        </w:trPr>
        <w:tc>
          <w:tcPr>
            <w:tcW w:w="9461" w:type="dxa"/>
            <w:gridSpan w:val="4"/>
            <w:shd w:val="clear" w:color="auto" w:fill="F7F9FB" w:themeFill="accent1" w:themeFillTint="33"/>
          </w:tcPr>
          <w:p w14:paraId="437D0A08" w14:textId="77777777" w:rsidR="00A844C3" w:rsidRDefault="00A844C3" w:rsidP="001B14A3">
            <w:pPr>
              <w:pStyle w:val="ListBullet"/>
              <w:numPr>
                <w:ilvl w:val="0"/>
                <w:numId w:val="0"/>
              </w:numPr>
              <w:spacing w:after="120"/>
              <w:ind w:left="360" w:hanging="360"/>
              <w:rPr>
                <w:b/>
                <w:lang w:val="en-GB"/>
              </w:rPr>
            </w:pPr>
            <w:r>
              <w:rPr>
                <w:b/>
                <w:noProof/>
                <w:lang w:val="en-GB" w:eastAsia="en-GB" w:bidi="ar-SA"/>
              </w:rPr>
              <mc:AlternateContent>
                <mc:Choice Requires="wps">
                  <w:drawing>
                    <wp:anchor distT="0" distB="0" distL="114300" distR="114300" simplePos="0" relativeHeight="251667456" behindDoc="1" locked="0" layoutInCell="0" allowOverlap="1" wp14:anchorId="6DE47B28" wp14:editId="7155A09E">
                      <wp:simplePos x="0" y="0"/>
                      <wp:positionH relativeFrom="page">
                        <wp:posOffset>1908810</wp:posOffset>
                      </wp:positionH>
                      <wp:positionV relativeFrom="paragraph">
                        <wp:posOffset>3376930</wp:posOffset>
                      </wp:positionV>
                      <wp:extent cx="0" cy="0"/>
                      <wp:effectExtent l="13335" t="12700" r="5715" b="635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06FA16" id="Freeform 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0.3pt,265.9pt,150.3pt,265.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" o:allowincell="f" filled="f" strokecolor="#000750" strokeweight=".5pt">
                      <v:path arrowok="t" o:connecttype="custom" o:connectlocs="0,0;0,0" o:connectangles="0,0"/>
                      <w10:wrap anchorx="page"/>
                    </v:polyline>
                  </w:pict>
                </mc:Fallback>
              </mc:AlternateContent>
            </w:r>
            <w:r>
              <w:rPr>
                <w:b/>
                <w:lang w:val="en-GB"/>
              </w:rPr>
              <w:t>23.1 A fund manager</w:t>
            </w:r>
            <w:r w:rsidRPr="00B325C2">
              <w:rPr>
                <w:b/>
                <w:lang w:val="en-GB"/>
              </w:rPr>
              <w:t xml:space="preserve"> should ensure that it has internal compliance arrangements which are designed to identify, detect, and prevent breaches of market abuse laws and regulations.</w:t>
            </w:r>
          </w:p>
          <w:p w14:paraId="2EF6AC46" w14:textId="77777777" w:rsidR="00A844C3" w:rsidRPr="00B325C2" w:rsidRDefault="00A844C3" w:rsidP="001B14A3">
            <w:pPr>
              <w:spacing w:after="120" w:line="240" w:lineRule="auto"/>
              <w:ind w:left="360"/>
            </w:pPr>
            <w:r w:rsidRPr="00B325C2">
              <w:t>A sound approach might include the following components:</w:t>
            </w:r>
          </w:p>
          <w:p w14:paraId="483BCB53" w14:textId="2E833F15" w:rsidR="00A844C3" w:rsidRPr="00B325C2" w:rsidRDefault="005B2A1A" w:rsidP="001B14A3">
            <w:pPr>
              <w:pStyle w:val="ListBullet2"/>
              <w:spacing w:after="120" w:line="240" w:lineRule="auto"/>
              <w:rPr>
                <w:lang w:val="en-GB"/>
              </w:rPr>
            </w:pPr>
            <w:r>
              <w:rPr>
                <w:lang w:val="en-GB"/>
              </w:rPr>
              <w:t>A</w:t>
            </w:r>
            <w:r w:rsidR="00A844C3" w:rsidRPr="00B325C2">
              <w:rPr>
                <w:lang w:val="en-GB"/>
              </w:rPr>
              <w:t xml:space="preserve"> dedicated compliance officer who is not involved in the investment management process</w:t>
            </w:r>
            <w:r>
              <w:rPr>
                <w:lang w:val="en-GB"/>
              </w:rPr>
              <w:t>,</w:t>
            </w:r>
            <w:r w:rsidR="00A844C3" w:rsidRPr="00B325C2">
              <w:rPr>
                <w:lang w:val="en-GB"/>
              </w:rPr>
              <w:t xml:space="preserve"> </w:t>
            </w:r>
          </w:p>
          <w:p w14:paraId="38F41D73" w14:textId="0C494D7A" w:rsidR="00A844C3" w:rsidRPr="00B325C2" w:rsidRDefault="005B2A1A" w:rsidP="001B14A3">
            <w:pPr>
              <w:pStyle w:val="ListBullet2"/>
              <w:spacing w:after="120" w:line="240" w:lineRule="auto"/>
              <w:rPr>
                <w:lang w:val="en-GB"/>
              </w:rPr>
            </w:pPr>
            <w:r>
              <w:rPr>
                <w:lang w:val="en-GB"/>
              </w:rPr>
              <w:t>A</w:t>
            </w:r>
            <w:r w:rsidR="00A844C3" w:rsidRPr="00B325C2">
              <w:rPr>
                <w:lang w:val="en-GB"/>
              </w:rPr>
              <w:t xml:space="preserve"> written compliance document describing all relevant compliance procedures</w:t>
            </w:r>
            <w:r>
              <w:rPr>
                <w:lang w:val="en-GB"/>
              </w:rPr>
              <w:t>,</w:t>
            </w:r>
          </w:p>
          <w:p w14:paraId="081A86A5" w14:textId="2F0F9914" w:rsidR="00A844C3" w:rsidRPr="00B325C2" w:rsidRDefault="005B2A1A" w:rsidP="001B14A3">
            <w:pPr>
              <w:pStyle w:val="ListBullet2"/>
              <w:spacing w:after="120" w:line="240" w:lineRule="auto"/>
              <w:rPr>
                <w:lang w:val="en-GB"/>
              </w:rPr>
            </w:pPr>
            <w:r>
              <w:rPr>
                <w:lang w:val="en-GB"/>
              </w:rPr>
              <w:t>D</w:t>
            </w:r>
            <w:r w:rsidR="00A844C3" w:rsidRPr="00B325C2">
              <w:rPr>
                <w:lang w:val="en-GB"/>
              </w:rPr>
              <w:t>ocumentation of all compliance incidents by the compliance officer in accordance with, where relevant, applicable regulatory requirements</w:t>
            </w:r>
            <w:r>
              <w:rPr>
                <w:lang w:val="en-GB"/>
              </w:rPr>
              <w:t>,</w:t>
            </w:r>
          </w:p>
          <w:p w14:paraId="7CAC0E74" w14:textId="28567065" w:rsidR="00A844C3" w:rsidRPr="00B325C2" w:rsidRDefault="005B2A1A" w:rsidP="001B14A3">
            <w:pPr>
              <w:pStyle w:val="ListBullet2"/>
              <w:spacing w:after="120" w:line="240" w:lineRule="auto"/>
              <w:rPr>
                <w:lang w:val="en-GB"/>
              </w:rPr>
            </w:pPr>
            <w:r>
              <w:rPr>
                <w:lang w:val="en-GB"/>
              </w:rPr>
              <w:t>T</w:t>
            </w:r>
            <w:r w:rsidR="00A844C3" w:rsidRPr="00B325C2">
              <w:rPr>
                <w:lang w:val="en-GB"/>
              </w:rPr>
              <w:t>raining/education of investment management and other staff to ensure that the relevant laws and regulations, the relevant compliance procedures and what constitutes inside information are all understood and adhered to</w:t>
            </w:r>
            <w:r>
              <w:rPr>
                <w:lang w:val="en-GB"/>
              </w:rPr>
              <w:t>,</w:t>
            </w:r>
          </w:p>
          <w:p w14:paraId="6FB35FEA" w14:textId="29EC9C0A" w:rsidR="00A844C3" w:rsidRPr="00B325C2" w:rsidRDefault="005B2A1A" w:rsidP="001B14A3">
            <w:pPr>
              <w:pStyle w:val="ListBullet2"/>
              <w:spacing w:after="120" w:line="240" w:lineRule="auto"/>
              <w:rPr>
                <w:lang w:val="en-GB"/>
              </w:rPr>
            </w:pPr>
            <w:r>
              <w:rPr>
                <w:lang w:val="en-GB"/>
              </w:rPr>
              <w:t>T</w:t>
            </w:r>
            <w:r w:rsidR="00A844C3" w:rsidRPr="00B325C2">
              <w:rPr>
                <w:lang w:val="en-GB"/>
              </w:rPr>
              <w:t>he provision of regular compliance reports to the fund governing body</w:t>
            </w:r>
            <w:r>
              <w:rPr>
                <w:lang w:val="en-GB"/>
              </w:rPr>
              <w:t>,</w:t>
            </w:r>
          </w:p>
          <w:p w14:paraId="4F7383E0" w14:textId="77C50066" w:rsidR="00A844C3" w:rsidRPr="00B325C2" w:rsidRDefault="005B2A1A" w:rsidP="001B14A3">
            <w:pPr>
              <w:pStyle w:val="ListBullet2"/>
              <w:spacing w:after="120" w:line="240" w:lineRule="auto"/>
              <w:rPr>
                <w:lang w:val="en-GB"/>
              </w:rPr>
            </w:pPr>
            <w:r>
              <w:rPr>
                <w:lang w:val="en-GB"/>
              </w:rPr>
              <w:lastRenderedPageBreak/>
              <w:t>S</w:t>
            </w:r>
            <w:r w:rsidR="00A844C3" w:rsidRPr="00B325C2">
              <w:rPr>
                <w:lang w:val="en-GB"/>
              </w:rPr>
              <w:t>eeking legal and regulatory guidance to ensure that compliance arrangements are designed to prevent regulatory breaches</w:t>
            </w:r>
            <w:r>
              <w:rPr>
                <w:lang w:val="en-GB"/>
              </w:rPr>
              <w:t>,</w:t>
            </w:r>
            <w:r w:rsidR="00A844C3" w:rsidRPr="00B325C2">
              <w:rPr>
                <w:lang w:val="en-GB"/>
              </w:rPr>
              <w:t xml:space="preserve"> and</w:t>
            </w:r>
          </w:p>
          <w:p w14:paraId="1D97098F" w14:textId="1F4558BB" w:rsidR="00A844C3" w:rsidRPr="001C237F" w:rsidRDefault="005B2A1A" w:rsidP="001B14A3">
            <w:pPr>
              <w:pStyle w:val="ListBullet2"/>
              <w:spacing w:after="120" w:line="240" w:lineRule="auto"/>
              <w:rPr>
                <w:sz w:val="20"/>
                <w:lang w:val="en-GB"/>
              </w:rPr>
            </w:pPr>
            <w:r>
              <w:rPr>
                <w:lang w:val="en-GB"/>
              </w:rPr>
              <w:t>O</w:t>
            </w:r>
            <w:r w:rsidR="00A844C3" w:rsidRPr="00B325C2">
              <w:rPr>
                <w:lang w:val="en-GB"/>
              </w:rPr>
              <w:t>pen relations with its regulator.</w:t>
            </w:r>
          </w:p>
          <w:p w14:paraId="46567CFA" w14:textId="77777777" w:rsidR="00A844C3" w:rsidRDefault="00A844C3" w:rsidP="001B14A3">
            <w:pPr>
              <w:pStyle w:val="ListBullet2"/>
              <w:numPr>
                <w:ilvl w:val="0"/>
                <w:numId w:val="0"/>
              </w:numPr>
              <w:spacing w:after="120" w:line="240" w:lineRule="auto"/>
              <w:rPr>
                <w:lang w:val="en-GB"/>
              </w:rPr>
            </w:pPr>
            <w:r w:rsidRPr="00B325C2">
              <w:rPr>
                <w:lang w:val="en-GB"/>
              </w:rPr>
              <w:t xml:space="preserve">The table below provides some examples of procedures which may support the application of </w:t>
            </w:r>
            <w:r>
              <w:rPr>
                <w:lang w:val="en-GB"/>
              </w:rPr>
              <w:t>good</w:t>
            </w:r>
            <w:r w:rsidRPr="00B325C2">
              <w:rPr>
                <w:lang w:val="en-GB"/>
              </w:rPr>
              <w:t xml:space="preserve"> practices.</w:t>
            </w:r>
          </w:p>
          <w:p w14:paraId="7F056E57" w14:textId="77777777" w:rsidR="00A844C3" w:rsidRPr="00B325C2" w:rsidRDefault="00A844C3" w:rsidP="001B14A3">
            <w:pPr>
              <w:pStyle w:val="ListBullet2"/>
              <w:numPr>
                <w:ilvl w:val="0"/>
                <w:numId w:val="0"/>
              </w:numPr>
              <w:spacing w:after="120" w:line="240" w:lineRule="auto"/>
              <w:rPr>
                <w:lang w:val="en-GB"/>
              </w:rPr>
            </w:pPr>
            <w:r w:rsidRPr="00247EA1">
              <w:rPr>
                <w:b/>
              </w:rPr>
              <w:t>Examples of compliance procedures designed to identify, detect, and prevent market abuse</w:t>
            </w:r>
          </w:p>
        </w:tc>
      </w:tr>
      <w:tr w:rsidR="00A844C3" w:rsidRPr="00B325C2" w14:paraId="42D237F1" w14:textId="77777777" w:rsidTr="001B14A3">
        <w:trPr>
          <w:trHeight w:val="343"/>
        </w:trPr>
        <w:tc>
          <w:tcPr>
            <w:tcW w:w="265" w:type="dxa"/>
            <w:tcBorders>
              <w:top w:val="nil"/>
              <w:left w:val="single" w:sz="4" w:space="0" w:color="auto"/>
              <w:bottom w:val="nil"/>
              <w:right w:val="single" w:sz="4" w:space="0" w:color="auto"/>
            </w:tcBorders>
            <w:shd w:val="clear" w:color="auto" w:fill="F7F9FB" w:themeFill="accent1" w:themeFillTint="33"/>
          </w:tcPr>
          <w:p w14:paraId="1E73B0EA" w14:textId="77777777" w:rsidR="00A844C3" w:rsidRDefault="00A844C3" w:rsidP="001B14A3">
            <w:pPr>
              <w:pStyle w:val="ListBullet"/>
              <w:numPr>
                <w:ilvl w:val="0"/>
                <w:numId w:val="0"/>
              </w:numPr>
              <w:spacing w:after="0"/>
              <w:ind w:left="360" w:hanging="360"/>
              <w:rPr>
                <w:b/>
                <w:noProof/>
                <w:lang w:val="en-GB"/>
              </w:rPr>
            </w:pPr>
          </w:p>
        </w:tc>
        <w:tc>
          <w:tcPr>
            <w:tcW w:w="1890" w:type="dxa"/>
            <w:tcBorders>
              <w:left w:val="single" w:sz="4" w:space="0" w:color="auto"/>
            </w:tcBorders>
            <w:shd w:val="clear" w:color="auto" w:fill="F7F9FB" w:themeFill="accent1" w:themeFillTint="33"/>
          </w:tcPr>
          <w:p w14:paraId="5756C27E" w14:textId="77777777" w:rsidR="00A844C3" w:rsidRDefault="00A844C3" w:rsidP="001B14A3">
            <w:pPr>
              <w:pStyle w:val="ListBullet"/>
              <w:numPr>
                <w:ilvl w:val="0"/>
                <w:numId w:val="0"/>
              </w:numPr>
              <w:spacing w:after="0"/>
              <w:ind w:left="360" w:hanging="360"/>
              <w:rPr>
                <w:b/>
                <w:noProof/>
                <w:lang w:val="en-GB"/>
              </w:rPr>
            </w:pPr>
            <w:r>
              <w:rPr>
                <w:b/>
                <w:noProof/>
                <w:lang w:val="en-GB"/>
              </w:rPr>
              <w:t>Abuse</w:t>
            </w:r>
          </w:p>
        </w:tc>
        <w:tc>
          <w:tcPr>
            <w:tcW w:w="7020" w:type="dxa"/>
            <w:tcBorders>
              <w:right w:val="single" w:sz="4" w:space="0" w:color="auto"/>
            </w:tcBorders>
            <w:shd w:val="clear" w:color="auto" w:fill="F7F9FB" w:themeFill="accent1" w:themeFillTint="33"/>
          </w:tcPr>
          <w:p w14:paraId="36705289" w14:textId="77777777" w:rsidR="00A844C3" w:rsidRDefault="00A844C3" w:rsidP="001B14A3">
            <w:pPr>
              <w:pStyle w:val="ListBullet"/>
              <w:numPr>
                <w:ilvl w:val="0"/>
                <w:numId w:val="0"/>
              </w:numPr>
              <w:spacing w:after="0"/>
              <w:ind w:left="360" w:hanging="360"/>
              <w:rPr>
                <w:b/>
                <w:noProof/>
                <w:lang w:val="en-GB"/>
              </w:rPr>
            </w:pPr>
            <w:r>
              <w:rPr>
                <w:b/>
                <w:noProof/>
                <w:lang w:val="en-GB"/>
              </w:rPr>
              <w:t>Procedure</w:t>
            </w:r>
          </w:p>
        </w:tc>
        <w:tc>
          <w:tcPr>
            <w:tcW w:w="286" w:type="dxa"/>
            <w:tcBorders>
              <w:top w:val="nil"/>
              <w:left w:val="single" w:sz="4" w:space="0" w:color="auto"/>
              <w:bottom w:val="nil"/>
              <w:right w:val="single" w:sz="4" w:space="0" w:color="auto"/>
            </w:tcBorders>
            <w:shd w:val="clear" w:color="auto" w:fill="F7F9FB" w:themeFill="accent1" w:themeFillTint="33"/>
          </w:tcPr>
          <w:p w14:paraId="0E1B27CA" w14:textId="77777777" w:rsidR="00A844C3" w:rsidRDefault="00A844C3" w:rsidP="001B14A3">
            <w:pPr>
              <w:pStyle w:val="ListBullet"/>
              <w:numPr>
                <w:ilvl w:val="0"/>
                <w:numId w:val="0"/>
              </w:numPr>
              <w:spacing w:after="0"/>
              <w:ind w:left="360" w:hanging="360"/>
              <w:rPr>
                <w:b/>
                <w:noProof/>
                <w:lang w:val="en-GB"/>
              </w:rPr>
            </w:pPr>
          </w:p>
        </w:tc>
      </w:tr>
      <w:tr w:rsidR="00A844C3" w:rsidRPr="00B325C2" w14:paraId="5541E196" w14:textId="77777777" w:rsidTr="001B14A3">
        <w:trPr>
          <w:trHeight w:val="991"/>
        </w:trPr>
        <w:tc>
          <w:tcPr>
            <w:tcW w:w="265" w:type="dxa"/>
            <w:tcBorders>
              <w:top w:val="nil"/>
              <w:left w:val="single" w:sz="4" w:space="0" w:color="auto"/>
              <w:bottom w:val="nil"/>
              <w:right w:val="single" w:sz="4" w:space="0" w:color="auto"/>
            </w:tcBorders>
            <w:shd w:val="clear" w:color="auto" w:fill="F7F9FB" w:themeFill="accent1" w:themeFillTint="33"/>
          </w:tcPr>
          <w:p w14:paraId="15B8DDF0" w14:textId="77777777" w:rsidR="00A844C3" w:rsidRPr="00B82919" w:rsidRDefault="00A844C3" w:rsidP="001B14A3">
            <w:pPr>
              <w:pStyle w:val="ListBullet"/>
              <w:numPr>
                <w:ilvl w:val="0"/>
                <w:numId w:val="0"/>
              </w:numPr>
              <w:ind w:left="360" w:hanging="360"/>
              <w:rPr>
                <w:b/>
                <w:noProof/>
                <w:lang w:val="en-GB"/>
              </w:rPr>
            </w:pPr>
          </w:p>
        </w:tc>
        <w:tc>
          <w:tcPr>
            <w:tcW w:w="1890" w:type="dxa"/>
            <w:tcBorders>
              <w:left w:val="single" w:sz="4" w:space="0" w:color="auto"/>
            </w:tcBorders>
            <w:shd w:val="clear" w:color="auto" w:fill="F7F9FB" w:themeFill="accent1" w:themeFillTint="33"/>
          </w:tcPr>
          <w:p w14:paraId="7026FB4E" w14:textId="77777777" w:rsidR="00A844C3" w:rsidRPr="00B82919" w:rsidRDefault="00A844C3" w:rsidP="001B14A3">
            <w:pPr>
              <w:pStyle w:val="ListBullet"/>
              <w:numPr>
                <w:ilvl w:val="0"/>
                <w:numId w:val="0"/>
              </w:numPr>
              <w:ind w:left="360" w:hanging="360"/>
              <w:rPr>
                <w:b/>
                <w:noProof/>
                <w:sz w:val="20"/>
                <w:szCs w:val="20"/>
                <w:lang w:val="en-GB"/>
              </w:rPr>
            </w:pPr>
            <w:r w:rsidRPr="00B82919">
              <w:rPr>
                <w:rFonts w:cs="Times New Roman"/>
                <w:sz w:val="20"/>
                <w:szCs w:val="20"/>
                <w:lang w:val="en-GB"/>
              </w:rPr>
              <w:t>Insider dealing</w:t>
            </w:r>
          </w:p>
        </w:tc>
        <w:tc>
          <w:tcPr>
            <w:tcW w:w="7020" w:type="dxa"/>
            <w:tcBorders>
              <w:right w:val="single" w:sz="4" w:space="0" w:color="auto"/>
            </w:tcBorders>
            <w:shd w:val="clear" w:color="auto" w:fill="F7F9FB" w:themeFill="accent1" w:themeFillTint="33"/>
          </w:tcPr>
          <w:p w14:paraId="2283C53E"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Notification to the compliance officer if an employee believes he/she has received inside information.</w:t>
            </w:r>
          </w:p>
          <w:p w14:paraId="34329033"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Compliance officer to determine whether information is material and non-public.</w:t>
            </w:r>
          </w:p>
          <w:p w14:paraId="12D2C29B"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If information is material and non-public, the securities of the issuer concerned should be placed on the restricted list (in which case such stocks cannot be traded) or on a grey list (non-disclosed restricted list, which prevents such information from being shared with the entire firm such that it might allow personnel to second guess why something was restricted).</w:t>
            </w:r>
          </w:p>
          <w:p w14:paraId="3A807220" w14:textId="2C0FCE2E"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Securities (shares, bonds, etc</w:t>
            </w:r>
            <w:r>
              <w:rPr>
                <w:rFonts w:asciiTheme="minorHAnsi" w:hAnsiTheme="minorHAnsi" w:cs="Times New Roman"/>
                <w:lang w:val="en-GB"/>
              </w:rPr>
              <w:t>.</w:t>
            </w:r>
            <w:r w:rsidRPr="00B82919">
              <w:rPr>
                <w:rFonts w:asciiTheme="minorHAnsi" w:hAnsiTheme="minorHAnsi" w:cs="Times New Roman"/>
                <w:lang w:val="en-GB"/>
              </w:rPr>
              <w:t>) of companies on the restricted list in which the entire firm would be excluded from dealing (</w:t>
            </w:r>
            <w:r w:rsidR="005B2A1A" w:rsidRPr="00B82919">
              <w:rPr>
                <w:rFonts w:asciiTheme="minorHAnsi" w:hAnsiTheme="minorHAnsi" w:cs="Times New Roman"/>
                <w:lang w:val="en-GB"/>
              </w:rPr>
              <w:t>e.g.,</w:t>
            </w:r>
            <w:r w:rsidRPr="00B82919">
              <w:rPr>
                <w:rFonts w:asciiTheme="minorHAnsi" w:hAnsiTheme="minorHAnsi" w:cs="Times New Roman"/>
                <w:lang w:val="en-GB"/>
              </w:rPr>
              <w:t xml:space="preserve"> restricted in the order management system).</w:t>
            </w:r>
          </w:p>
          <w:p w14:paraId="6CA709D8"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Where practicable, use of Chinese walls to prevent, for example, individual portfolio managers who are members of a creditors’ committee of a distressed or bankrupt company (and who therefore have access to confidential information) from also trading such company’s debt or equity.</w:t>
            </w:r>
          </w:p>
          <w:p w14:paraId="5F31839A"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In instances where inside information is known to employees who have no active involvement in the investment management function, documentation of details of this knowledge should be placed on a separate (non-publicised) register.</w:t>
            </w:r>
          </w:p>
        </w:tc>
        <w:tc>
          <w:tcPr>
            <w:tcW w:w="286" w:type="dxa"/>
            <w:tcBorders>
              <w:top w:val="nil"/>
              <w:left w:val="single" w:sz="4" w:space="0" w:color="auto"/>
              <w:bottom w:val="nil"/>
              <w:right w:val="single" w:sz="4" w:space="0" w:color="auto"/>
            </w:tcBorders>
            <w:shd w:val="clear" w:color="auto" w:fill="F7F9FB" w:themeFill="accent1" w:themeFillTint="33"/>
          </w:tcPr>
          <w:p w14:paraId="09928696" w14:textId="77777777" w:rsidR="00A844C3" w:rsidRDefault="00A844C3" w:rsidP="001B14A3">
            <w:pPr>
              <w:pStyle w:val="ListBullet"/>
              <w:numPr>
                <w:ilvl w:val="0"/>
                <w:numId w:val="0"/>
              </w:numPr>
              <w:ind w:left="360" w:hanging="360"/>
              <w:rPr>
                <w:b/>
                <w:noProof/>
                <w:lang w:val="en-GB"/>
              </w:rPr>
            </w:pPr>
          </w:p>
        </w:tc>
      </w:tr>
      <w:tr w:rsidR="00A844C3" w:rsidRPr="00B325C2" w14:paraId="59645395" w14:textId="77777777" w:rsidTr="001B14A3">
        <w:trPr>
          <w:trHeight w:val="1272"/>
        </w:trPr>
        <w:tc>
          <w:tcPr>
            <w:tcW w:w="265" w:type="dxa"/>
            <w:tcBorders>
              <w:top w:val="nil"/>
              <w:left w:val="single" w:sz="4" w:space="0" w:color="auto"/>
              <w:bottom w:val="nil"/>
              <w:right w:val="single" w:sz="4" w:space="0" w:color="auto"/>
            </w:tcBorders>
            <w:shd w:val="clear" w:color="auto" w:fill="F7F9FB" w:themeFill="accent1" w:themeFillTint="33"/>
          </w:tcPr>
          <w:p w14:paraId="5B782111" w14:textId="77777777" w:rsidR="00A844C3" w:rsidRPr="00B82919" w:rsidRDefault="00A844C3" w:rsidP="001B14A3">
            <w:pPr>
              <w:pStyle w:val="ListBullet"/>
              <w:numPr>
                <w:ilvl w:val="0"/>
                <w:numId w:val="0"/>
              </w:numPr>
              <w:ind w:left="360" w:hanging="360"/>
              <w:rPr>
                <w:b/>
                <w:noProof/>
                <w:lang w:val="en-GB"/>
              </w:rPr>
            </w:pPr>
          </w:p>
        </w:tc>
        <w:tc>
          <w:tcPr>
            <w:tcW w:w="1890" w:type="dxa"/>
            <w:tcBorders>
              <w:left w:val="single" w:sz="4" w:space="0" w:color="auto"/>
            </w:tcBorders>
            <w:shd w:val="clear" w:color="auto" w:fill="F7F9FB" w:themeFill="accent1" w:themeFillTint="33"/>
          </w:tcPr>
          <w:p w14:paraId="2A996065" w14:textId="77777777" w:rsidR="00A844C3" w:rsidRPr="00B82919" w:rsidRDefault="00A844C3" w:rsidP="001B14A3">
            <w:pPr>
              <w:pStyle w:val="ListBullet"/>
              <w:numPr>
                <w:ilvl w:val="0"/>
                <w:numId w:val="0"/>
              </w:numPr>
              <w:rPr>
                <w:b/>
                <w:noProof/>
                <w:sz w:val="20"/>
                <w:szCs w:val="20"/>
                <w:lang w:val="en-GB"/>
              </w:rPr>
            </w:pPr>
            <w:r w:rsidRPr="00B82919">
              <w:rPr>
                <w:rFonts w:cs="Times New Roman"/>
                <w:sz w:val="20"/>
                <w:szCs w:val="20"/>
                <w:lang w:val="en-GB"/>
              </w:rPr>
              <w:t>Dissemination of inside information</w:t>
            </w:r>
          </w:p>
        </w:tc>
        <w:tc>
          <w:tcPr>
            <w:tcW w:w="7020" w:type="dxa"/>
            <w:tcBorders>
              <w:right w:val="single" w:sz="4" w:space="0" w:color="auto"/>
            </w:tcBorders>
            <w:shd w:val="clear" w:color="auto" w:fill="F7F9FB" w:themeFill="accent1" w:themeFillTint="33"/>
          </w:tcPr>
          <w:p w14:paraId="5913C6A6" w14:textId="00A297F8"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Managers should have policies to restrict dissemination of material non-public information including, for example, the manager’s own intention actively to engage with a company (</w:t>
            </w:r>
            <w:r w:rsidR="005B2A1A" w:rsidRPr="00B82919">
              <w:rPr>
                <w:rFonts w:asciiTheme="minorHAnsi" w:hAnsiTheme="minorHAnsi" w:cs="Times New Roman"/>
                <w:lang w:val="en-GB"/>
              </w:rPr>
              <w:t>e.g.,</w:t>
            </w:r>
            <w:r w:rsidRPr="00B82919">
              <w:rPr>
                <w:rFonts w:asciiTheme="minorHAnsi" w:hAnsiTheme="minorHAnsi" w:cs="Times New Roman"/>
                <w:lang w:val="en-GB"/>
              </w:rPr>
              <w:t xml:space="preserve"> by advocating/suggesting a corporate restructuring).</w:t>
            </w:r>
          </w:p>
        </w:tc>
        <w:tc>
          <w:tcPr>
            <w:tcW w:w="286" w:type="dxa"/>
            <w:tcBorders>
              <w:top w:val="nil"/>
              <w:left w:val="single" w:sz="4" w:space="0" w:color="auto"/>
              <w:bottom w:val="nil"/>
              <w:right w:val="single" w:sz="4" w:space="0" w:color="auto"/>
            </w:tcBorders>
            <w:shd w:val="clear" w:color="auto" w:fill="F7F9FB" w:themeFill="accent1" w:themeFillTint="33"/>
          </w:tcPr>
          <w:p w14:paraId="66B8C4D7" w14:textId="77777777" w:rsidR="00A844C3" w:rsidRDefault="00A844C3" w:rsidP="001B14A3">
            <w:pPr>
              <w:pStyle w:val="ListBullet"/>
              <w:numPr>
                <w:ilvl w:val="0"/>
                <w:numId w:val="0"/>
              </w:numPr>
              <w:ind w:left="360" w:hanging="360"/>
              <w:rPr>
                <w:b/>
                <w:noProof/>
                <w:lang w:val="en-GB"/>
              </w:rPr>
            </w:pPr>
          </w:p>
        </w:tc>
      </w:tr>
      <w:tr w:rsidR="00A844C3" w:rsidRPr="00B325C2" w14:paraId="12396932" w14:textId="77777777" w:rsidTr="001B14A3">
        <w:trPr>
          <w:trHeight w:val="1272"/>
        </w:trPr>
        <w:tc>
          <w:tcPr>
            <w:tcW w:w="265" w:type="dxa"/>
            <w:tcBorders>
              <w:top w:val="nil"/>
              <w:left w:val="single" w:sz="4" w:space="0" w:color="auto"/>
              <w:bottom w:val="nil"/>
              <w:right w:val="single" w:sz="4" w:space="0" w:color="auto"/>
            </w:tcBorders>
            <w:shd w:val="clear" w:color="auto" w:fill="F7F9FB" w:themeFill="accent1" w:themeFillTint="33"/>
          </w:tcPr>
          <w:p w14:paraId="78E74F0C" w14:textId="77777777" w:rsidR="00A844C3" w:rsidRPr="00B82919" w:rsidRDefault="00A844C3" w:rsidP="001B14A3">
            <w:pPr>
              <w:pStyle w:val="ListBullet"/>
              <w:numPr>
                <w:ilvl w:val="0"/>
                <w:numId w:val="0"/>
              </w:numPr>
              <w:ind w:left="360" w:hanging="360"/>
              <w:rPr>
                <w:b/>
                <w:noProof/>
                <w:lang w:val="en-GB"/>
              </w:rPr>
            </w:pPr>
          </w:p>
        </w:tc>
        <w:tc>
          <w:tcPr>
            <w:tcW w:w="1890" w:type="dxa"/>
            <w:tcBorders>
              <w:left w:val="single" w:sz="4" w:space="0" w:color="auto"/>
              <w:bottom w:val="single" w:sz="4" w:space="0" w:color="auto"/>
            </w:tcBorders>
            <w:shd w:val="clear" w:color="auto" w:fill="F7F9FB" w:themeFill="accent1" w:themeFillTint="33"/>
          </w:tcPr>
          <w:p w14:paraId="5CD069FB" w14:textId="77777777" w:rsidR="00A844C3" w:rsidRPr="00B82919" w:rsidRDefault="00A844C3" w:rsidP="001B14A3">
            <w:pPr>
              <w:pStyle w:val="ListBullet"/>
              <w:numPr>
                <w:ilvl w:val="0"/>
                <w:numId w:val="0"/>
              </w:numPr>
              <w:spacing w:line="280" w:lineRule="atLeast"/>
              <w:rPr>
                <w:b/>
                <w:noProof/>
                <w:sz w:val="20"/>
                <w:szCs w:val="20"/>
                <w:lang w:val="en-GB"/>
              </w:rPr>
            </w:pPr>
            <w:r w:rsidRPr="00B82919">
              <w:rPr>
                <w:rFonts w:cs="Times New Roman"/>
                <w:sz w:val="20"/>
                <w:szCs w:val="20"/>
                <w:lang w:val="en-GB"/>
              </w:rPr>
              <w:t xml:space="preserve">Non-disclosure of shareholdings when disclosure thresholds </w:t>
            </w:r>
            <w:r w:rsidRPr="00B82919">
              <w:rPr>
                <w:rFonts w:cs="Times New Roman"/>
                <w:position w:val="4"/>
                <w:sz w:val="20"/>
                <w:szCs w:val="20"/>
                <w:lang w:val="en-GB"/>
              </w:rPr>
              <w:t>have been exceeded</w:t>
            </w:r>
          </w:p>
        </w:tc>
        <w:tc>
          <w:tcPr>
            <w:tcW w:w="7020" w:type="dxa"/>
            <w:tcBorders>
              <w:bottom w:val="single" w:sz="4" w:space="0" w:color="auto"/>
              <w:right w:val="single" w:sz="4" w:space="0" w:color="auto"/>
            </w:tcBorders>
            <w:shd w:val="clear" w:color="auto" w:fill="F7F9FB" w:themeFill="accent1" w:themeFillTint="33"/>
          </w:tcPr>
          <w:p w14:paraId="427EAE4E" w14:textId="445BCBFA"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Managers should document arrangements with other parties (</w:t>
            </w:r>
            <w:r w:rsidR="005B2A1A" w:rsidRPr="00B82919">
              <w:rPr>
                <w:rFonts w:asciiTheme="minorHAnsi" w:hAnsiTheme="minorHAnsi" w:cs="Times New Roman"/>
                <w:lang w:val="en-GB"/>
              </w:rPr>
              <w:t>e.g.,</w:t>
            </w:r>
            <w:r w:rsidRPr="00B82919">
              <w:rPr>
                <w:rFonts w:asciiTheme="minorHAnsi" w:hAnsiTheme="minorHAnsi" w:cs="Times New Roman"/>
                <w:lang w:val="en-GB"/>
              </w:rPr>
              <w:t xml:space="preserve"> other managers) together with which it has adopted a “lasting common policy towards the management of the issuer in question”.</w:t>
            </w:r>
          </w:p>
          <w:p w14:paraId="10F1C44D"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Relevant disclosures should take place if disclosure thresholds are exceeded, accounting for collective share ownership of all parties involved.</w:t>
            </w:r>
          </w:p>
        </w:tc>
        <w:tc>
          <w:tcPr>
            <w:tcW w:w="286" w:type="dxa"/>
            <w:tcBorders>
              <w:top w:val="nil"/>
              <w:left w:val="single" w:sz="4" w:space="0" w:color="auto"/>
              <w:bottom w:val="nil"/>
              <w:right w:val="single" w:sz="4" w:space="0" w:color="auto"/>
            </w:tcBorders>
            <w:shd w:val="clear" w:color="auto" w:fill="F7F9FB" w:themeFill="accent1" w:themeFillTint="33"/>
          </w:tcPr>
          <w:p w14:paraId="260468E9" w14:textId="77777777" w:rsidR="00A844C3" w:rsidRDefault="00A844C3" w:rsidP="001B14A3">
            <w:pPr>
              <w:pStyle w:val="ListBullet"/>
              <w:numPr>
                <w:ilvl w:val="0"/>
                <w:numId w:val="0"/>
              </w:numPr>
              <w:ind w:left="360" w:hanging="360"/>
              <w:rPr>
                <w:b/>
                <w:noProof/>
                <w:lang w:val="en-GB"/>
              </w:rPr>
            </w:pPr>
          </w:p>
        </w:tc>
      </w:tr>
      <w:tr w:rsidR="00A844C3" w:rsidRPr="00B325C2" w14:paraId="43F3DABD" w14:textId="77777777" w:rsidTr="001B14A3">
        <w:trPr>
          <w:trHeight w:val="918"/>
        </w:trPr>
        <w:tc>
          <w:tcPr>
            <w:tcW w:w="265" w:type="dxa"/>
            <w:tcBorders>
              <w:top w:val="nil"/>
              <w:left w:val="single" w:sz="4" w:space="0" w:color="auto"/>
              <w:bottom w:val="nil"/>
              <w:right w:val="single" w:sz="4" w:space="0" w:color="auto"/>
            </w:tcBorders>
            <w:shd w:val="clear" w:color="auto" w:fill="F7F9FB" w:themeFill="accent1" w:themeFillTint="33"/>
          </w:tcPr>
          <w:p w14:paraId="3F855FA2" w14:textId="77777777" w:rsidR="00A844C3" w:rsidRPr="00B82919" w:rsidRDefault="00A844C3" w:rsidP="001B14A3">
            <w:pPr>
              <w:pStyle w:val="ListBullet"/>
              <w:numPr>
                <w:ilvl w:val="0"/>
                <w:numId w:val="0"/>
              </w:numPr>
              <w:ind w:left="360" w:hanging="360"/>
              <w:rPr>
                <w:b/>
                <w:noProof/>
                <w:lang w:val="en-GB"/>
              </w:rPr>
            </w:pPr>
          </w:p>
        </w:tc>
        <w:tc>
          <w:tcPr>
            <w:tcW w:w="1890" w:type="dxa"/>
            <w:tcBorders>
              <w:left w:val="single" w:sz="4" w:space="0" w:color="auto"/>
              <w:bottom w:val="single" w:sz="4" w:space="0" w:color="auto"/>
            </w:tcBorders>
            <w:shd w:val="clear" w:color="auto" w:fill="F7F9FB" w:themeFill="accent1" w:themeFillTint="33"/>
          </w:tcPr>
          <w:p w14:paraId="7AB293BA" w14:textId="77777777" w:rsidR="00A844C3" w:rsidRPr="00B82919" w:rsidRDefault="00A844C3" w:rsidP="001B14A3">
            <w:pPr>
              <w:pStyle w:val="ListBullet"/>
              <w:numPr>
                <w:ilvl w:val="0"/>
                <w:numId w:val="0"/>
              </w:numPr>
              <w:spacing w:line="280" w:lineRule="atLeast"/>
              <w:rPr>
                <w:b/>
                <w:noProof/>
                <w:sz w:val="20"/>
                <w:szCs w:val="20"/>
                <w:lang w:val="en-GB"/>
              </w:rPr>
            </w:pPr>
            <w:r w:rsidRPr="00B82919">
              <w:rPr>
                <w:rFonts w:cs="Times New Roman"/>
                <w:sz w:val="20"/>
                <w:szCs w:val="20"/>
                <w:lang w:val="en-GB"/>
              </w:rPr>
              <w:t>Prevention of market manipulation</w:t>
            </w:r>
          </w:p>
        </w:tc>
        <w:tc>
          <w:tcPr>
            <w:tcW w:w="7020" w:type="dxa"/>
            <w:tcBorders>
              <w:bottom w:val="single" w:sz="4" w:space="0" w:color="auto"/>
              <w:right w:val="single" w:sz="4" w:space="0" w:color="auto"/>
            </w:tcBorders>
            <w:shd w:val="clear" w:color="auto" w:fill="F7F9FB" w:themeFill="accent1" w:themeFillTint="33"/>
          </w:tcPr>
          <w:p w14:paraId="2FDA4A85" w14:textId="77777777" w:rsidR="00A844C3" w:rsidRPr="00B82919" w:rsidRDefault="00A844C3" w:rsidP="001B14A3">
            <w:pPr>
              <w:pStyle w:val="TableBullet1"/>
              <w:tabs>
                <w:tab w:val="clear" w:pos="2629"/>
                <w:tab w:val="num" w:pos="162"/>
              </w:tabs>
              <w:ind w:left="162" w:hanging="180"/>
              <w:rPr>
                <w:rFonts w:asciiTheme="minorHAnsi" w:hAnsiTheme="minorHAnsi" w:cs="Times New Roman"/>
                <w:lang w:val="en-GB"/>
              </w:rPr>
            </w:pPr>
            <w:r w:rsidRPr="00B82919">
              <w:rPr>
                <w:rFonts w:asciiTheme="minorHAnsi" w:hAnsiTheme="minorHAnsi" w:cs="Times New Roman"/>
                <w:lang w:val="en-GB"/>
              </w:rPr>
              <w:t>Public relations policies regarding public statements of intent to seek to ensure that no false or misleading impressions are given to the market.</w:t>
            </w:r>
          </w:p>
        </w:tc>
        <w:tc>
          <w:tcPr>
            <w:tcW w:w="286" w:type="dxa"/>
            <w:tcBorders>
              <w:top w:val="nil"/>
              <w:left w:val="single" w:sz="4" w:space="0" w:color="auto"/>
              <w:bottom w:val="nil"/>
              <w:right w:val="single" w:sz="4" w:space="0" w:color="auto"/>
            </w:tcBorders>
            <w:shd w:val="clear" w:color="auto" w:fill="F7F9FB" w:themeFill="accent1" w:themeFillTint="33"/>
          </w:tcPr>
          <w:p w14:paraId="6469A535" w14:textId="77777777" w:rsidR="00A844C3" w:rsidRDefault="00A844C3" w:rsidP="001B14A3">
            <w:pPr>
              <w:pStyle w:val="ListBullet"/>
              <w:numPr>
                <w:ilvl w:val="0"/>
                <w:numId w:val="0"/>
              </w:numPr>
              <w:ind w:left="360" w:hanging="360"/>
              <w:rPr>
                <w:b/>
                <w:noProof/>
                <w:lang w:val="en-GB"/>
              </w:rPr>
            </w:pPr>
          </w:p>
        </w:tc>
      </w:tr>
      <w:tr w:rsidR="00A844C3" w:rsidRPr="00B325C2" w14:paraId="1E782100" w14:textId="77777777" w:rsidTr="001B14A3">
        <w:trPr>
          <w:trHeight w:val="91"/>
        </w:trPr>
        <w:tc>
          <w:tcPr>
            <w:tcW w:w="9461" w:type="dxa"/>
            <w:gridSpan w:val="4"/>
            <w:tcBorders>
              <w:top w:val="nil"/>
              <w:left w:val="single" w:sz="4" w:space="0" w:color="auto"/>
              <w:bottom w:val="single" w:sz="4" w:space="0" w:color="auto"/>
              <w:right w:val="single" w:sz="4" w:space="0" w:color="auto"/>
            </w:tcBorders>
            <w:shd w:val="clear" w:color="auto" w:fill="F7F9FB" w:themeFill="accent1" w:themeFillTint="33"/>
          </w:tcPr>
          <w:p w14:paraId="7D1B617E" w14:textId="77777777" w:rsidR="00A844C3" w:rsidRPr="005D4FCD" w:rsidRDefault="00A844C3" w:rsidP="001B14A3">
            <w:pPr>
              <w:pStyle w:val="ListBullet"/>
              <w:numPr>
                <w:ilvl w:val="0"/>
                <w:numId w:val="0"/>
              </w:numPr>
              <w:spacing w:after="0"/>
              <w:rPr>
                <w:b/>
                <w:noProof/>
                <w:sz w:val="4"/>
                <w:lang w:val="en-GB"/>
              </w:rPr>
            </w:pPr>
          </w:p>
        </w:tc>
      </w:tr>
    </w:tbl>
    <w:p w14:paraId="5A97B40E" w14:textId="08E3702E" w:rsidR="005B2A1A" w:rsidRDefault="005B2A1A" w:rsidP="005B2A1A">
      <w:pPr>
        <w:pStyle w:val="NoSpacing"/>
      </w:pPr>
      <w:bookmarkStart w:id="26" w:name="_Toc181508715"/>
      <w:bookmarkStart w:id="27" w:name="_Toc185306190"/>
    </w:p>
    <w:p w14:paraId="0196CB28" w14:textId="10AD11FC" w:rsidR="00A844C3" w:rsidRDefault="00A844C3" w:rsidP="00A844C3">
      <w:pPr>
        <w:pStyle w:val="Heading3"/>
      </w:pPr>
      <w:r w:rsidRPr="00D1184D">
        <w:t xml:space="preserve">Prevention of </w:t>
      </w:r>
      <w:r>
        <w:t>M</w:t>
      </w:r>
      <w:r w:rsidRPr="00D1184D">
        <w:t xml:space="preserve">arket </w:t>
      </w:r>
      <w:r>
        <w:t>A</w:t>
      </w:r>
      <w:r w:rsidRPr="00D1184D">
        <w:t>buse – Disclosure</w:t>
      </w:r>
      <w:bookmarkEnd w:id="26"/>
      <w:bookmarkEnd w:id="27"/>
      <w:r w:rsidRPr="00D1184D">
        <w:t xml:space="preserve"> Standards and Guidance [24]</w:t>
      </w:r>
    </w:p>
    <w:p w14:paraId="10FC5BF5" w14:textId="77777777" w:rsidR="00A844C3" w:rsidRPr="00936224"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5AAB91AB" w14:textId="77777777" w:rsidTr="001B14A3">
        <w:trPr>
          <w:trHeight w:val="654"/>
        </w:trPr>
        <w:tc>
          <w:tcPr>
            <w:tcW w:w="9464" w:type="dxa"/>
            <w:shd w:val="clear" w:color="auto" w:fill="F7F9FB" w:themeFill="accent1" w:themeFillTint="33"/>
          </w:tcPr>
          <w:p w14:paraId="3C606FBE" w14:textId="77777777" w:rsidR="00A844C3" w:rsidRDefault="00A844C3" w:rsidP="001B14A3">
            <w:pPr>
              <w:pStyle w:val="ListBullet"/>
              <w:numPr>
                <w:ilvl w:val="0"/>
                <w:numId w:val="0"/>
              </w:numPr>
              <w:spacing w:after="120"/>
              <w:ind w:left="360" w:hanging="360"/>
              <w:rPr>
                <w:b/>
                <w:lang w:val="en-GB"/>
              </w:rPr>
            </w:pPr>
            <w:r>
              <w:rPr>
                <w:b/>
                <w:noProof/>
                <w:lang w:val="en-GB" w:eastAsia="en-GB" w:bidi="ar-SA"/>
              </w:rPr>
              <mc:AlternateContent>
                <mc:Choice Requires="wps">
                  <w:drawing>
                    <wp:anchor distT="0" distB="0" distL="114300" distR="114300" simplePos="0" relativeHeight="251668480" behindDoc="1" locked="0" layoutInCell="0" allowOverlap="1" wp14:anchorId="7CFFCD99" wp14:editId="7C7F5EB0">
                      <wp:simplePos x="0" y="0"/>
                      <wp:positionH relativeFrom="page">
                        <wp:posOffset>1967865</wp:posOffset>
                      </wp:positionH>
                      <wp:positionV relativeFrom="paragraph">
                        <wp:posOffset>523875</wp:posOffset>
                      </wp:positionV>
                      <wp:extent cx="0" cy="0"/>
                      <wp:effectExtent l="5715" t="11430" r="13335" b="762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5DA9E8" id="Freeform 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4.95pt,41.25pt,154.95pt,41.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" o:allowincell="f" filled="f" strokecolor="#000750" strokeweight=".5pt">
                      <v:path arrowok="t" o:connecttype="custom" o:connectlocs="0,0;0,0" o:connectangles="0,0"/>
                      <w10:wrap anchorx="page"/>
                    </v:polyline>
                  </w:pict>
                </mc:Fallback>
              </mc:AlternateContent>
            </w:r>
            <w:r>
              <w:rPr>
                <w:b/>
                <w:lang w:val="en-GB"/>
              </w:rPr>
              <w:t>24.1 A fund manager</w:t>
            </w:r>
            <w:r w:rsidRPr="00B325C2">
              <w:rPr>
                <w:b/>
                <w:lang w:val="en-GB"/>
              </w:rPr>
              <w:t xml:space="preserve"> </w:t>
            </w:r>
            <w:r>
              <w:rPr>
                <w:b/>
                <w:lang w:val="en-GB"/>
              </w:rPr>
              <w:t>shall have a policy to prevent market abuse. For managers that are not regulated, a summary of the policy should be made available to investors upon request</w:t>
            </w:r>
            <w:r w:rsidRPr="00B325C2">
              <w:rPr>
                <w:b/>
                <w:lang w:val="en-GB"/>
              </w:rPr>
              <w:t>.</w:t>
            </w:r>
          </w:p>
        </w:tc>
      </w:tr>
    </w:tbl>
    <w:p w14:paraId="030033C7" w14:textId="77777777" w:rsidR="00A844C3" w:rsidRPr="00B325C2" w:rsidRDefault="00A844C3" w:rsidP="00A844C3">
      <w:pPr>
        <w:spacing w:after="0"/>
      </w:pPr>
      <w:bookmarkStart w:id="28" w:name="_Toc181508720"/>
      <w:bookmarkStart w:id="29" w:name="_Toc185306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A844C3" w:rsidRPr="00B325C2" w14:paraId="4D105C2E" w14:textId="77777777" w:rsidTr="001B14A3">
        <w:tc>
          <w:tcPr>
            <w:tcW w:w="9464" w:type="dxa"/>
          </w:tcPr>
          <w:p w14:paraId="39CF06ED" w14:textId="77777777" w:rsidR="00A844C3" w:rsidRDefault="00A844C3" w:rsidP="001B14A3">
            <w:pPr>
              <w:spacing w:after="120"/>
              <w:rPr>
                <w:b/>
                <w:i/>
                <w:color w:val="000000"/>
              </w:rPr>
            </w:pPr>
            <w:r w:rsidRPr="00B325C2">
              <w:rPr>
                <w:b/>
              </w:rPr>
              <w:t>Examples of potential inside information</w:t>
            </w:r>
          </w:p>
          <w:p w14:paraId="56497D54" w14:textId="77777777" w:rsidR="00A844C3" w:rsidRDefault="00A844C3" w:rsidP="001B14A3">
            <w:pPr>
              <w:pStyle w:val="ListBullet"/>
              <w:spacing w:after="120"/>
              <w:rPr>
                <w:lang w:val="en-GB"/>
              </w:rPr>
            </w:pPr>
            <w:r w:rsidRPr="00B325C2">
              <w:rPr>
                <w:lang w:val="en-GB"/>
              </w:rPr>
              <w:t xml:space="preserve">Knowledge of another </w:t>
            </w:r>
            <w:r>
              <w:rPr>
                <w:lang w:val="en-GB"/>
              </w:rPr>
              <w:t>fund manager</w:t>
            </w:r>
            <w:r w:rsidRPr="00B325C2">
              <w:rPr>
                <w:lang w:val="en-GB"/>
              </w:rPr>
              <w:t>’s intention to engage in activist behaviour (which is not publicly disclosed).</w:t>
            </w:r>
          </w:p>
          <w:p w14:paraId="5C59D814" w14:textId="77777777" w:rsidR="00A844C3" w:rsidRDefault="00A844C3" w:rsidP="001B14A3">
            <w:pPr>
              <w:pStyle w:val="ListBullet"/>
              <w:spacing w:after="120"/>
              <w:rPr>
                <w:lang w:val="en-GB"/>
              </w:rPr>
            </w:pPr>
            <w:r>
              <w:rPr>
                <w:noProof/>
                <w:lang w:val="en-GB" w:eastAsia="en-GB" w:bidi="ar-SA"/>
              </w:rPr>
              <mc:AlternateContent>
                <mc:Choice Requires="wps">
                  <w:drawing>
                    <wp:anchor distT="0" distB="0" distL="114300" distR="114300" simplePos="0" relativeHeight="251679744" behindDoc="1" locked="0" layoutInCell="0" allowOverlap="1" wp14:anchorId="3D608CBC" wp14:editId="3C03D972">
                      <wp:simplePos x="0" y="0"/>
                      <wp:positionH relativeFrom="page">
                        <wp:posOffset>2041525</wp:posOffset>
                      </wp:positionH>
                      <wp:positionV relativeFrom="paragraph">
                        <wp:posOffset>741680</wp:posOffset>
                      </wp:positionV>
                      <wp:extent cx="0" cy="0"/>
                      <wp:effectExtent l="12700" t="7620" r="6350" b="11430"/>
                      <wp:wrapNone/>
                      <wp:docPr id="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CF14D7" id="Freeform 2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0.75pt,58.4pt,160.75pt,58.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" o:allowincell="f" filled="f" strokecolor="#000750" strokeweight=".5pt">
                      <v:path arrowok="t" o:connecttype="custom" o:connectlocs="0,0;0,0" o:connectangles="0,0"/>
                      <w10:wrap anchorx="page"/>
                    </v:polyline>
                  </w:pict>
                </mc:Fallback>
              </mc:AlternateContent>
            </w:r>
            <w:r w:rsidRPr="00B325C2">
              <w:rPr>
                <w:lang w:val="en-GB"/>
              </w:rPr>
              <w:t>Inside information obtained by a manager while serving on a creditor committee in a bankruptcy work-out situation.</w:t>
            </w:r>
          </w:p>
          <w:p w14:paraId="7DC36BED" w14:textId="77777777" w:rsidR="00A844C3" w:rsidRDefault="00A844C3" w:rsidP="001B14A3">
            <w:pPr>
              <w:pStyle w:val="ListBullet"/>
              <w:spacing w:after="120"/>
              <w:rPr>
                <w:rFonts w:ascii="Arial" w:hAnsi="Arial" w:cs="Arial"/>
                <w:sz w:val="20"/>
                <w:lang w:val="en-GB"/>
              </w:rPr>
            </w:pPr>
            <w:r w:rsidRPr="00B325C2">
              <w:rPr>
                <w:lang w:val="en-GB"/>
              </w:rPr>
              <w:t>Information on upcoming securities offerings, which have not yet been publicly announced by the issuer.</w:t>
            </w:r>
          </w:p>
        </w:tc>
      </w:tr>
      <w:bookmarkEnd w:id="28"/>
      <w:bookmarkEnd w:id="29"/>
    </w:tbl>
    <w:p w14:paraId="1C5D8DE3" w14:textId="77777777" w:rsidR="005B2A1A" w:rsidRDefault="005B2A1A" w:rsidP="005B2A1A">
      <w:pPr>
        <w:pStyle w:val="NoSpacing"/>
      </w:pPr>
    </w:p>
    <w:p w14:paraId="07AD3EEF" w14:textId="1FC3248A" w:rsidR="00A844C3" w:rsidRDefault="00A844C3" w:rsidP="00A844C3">
      <w:pPr>
        <w:pStyle w:val="Heading3"/>
      </w:pPr>
      <w:r w:rsidRPr="00D1184D">
        <w:t xml:space="preserve">Proxy </w:t>
      </w:r>
      <w:r>
        <w:t>V</w:t>
      </w:r>
      <w:r w:rsidRPr="00D1184D">
        <w:t>oting – Governance Standards and Guidance [25]</w:t>
      </w:r>
    </w:p>
    <w:p w14:paraId="1C5411B8" w14:textId="77777777" w:rsidR="00A844C3" w:rsidRPr="00936224"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665E217C" w14:textId="77777777" w:rsidTr="001B14A3">
        <w:trPr>
          <w:trHeight w:val="1101"/>
        </w:trPr>
        <w:tc>
          <w:tcPr>
            <w:tcW w:w="9464" w:type="dxa"/>
            <w:shd w:val="clear" w:color="auto" w:fill="F7F9FB" w:themeFill="accent1" w:themeFillTint="33"/>
          </w:tcPr>
          <w:p w14:paraId="603890D7" w14:textId="77777777" w:rsidR="00A844C3" w:rsidRDefault="00A844C3" w:rsidP="001B14A3">
            <w:pPr>
              <w:pStyle w:val="ListBullet"/>
              <w:numPr>
                <w:ilvl w:val="0"/>
                <w:numId w:val="0"/>
              </w:numPr>
              <w:spacing w:after="120"/>
              <w:ind w:left="360" w:hanging="360"/>
              <w:rPr>
                <w:b/>
                <w:lang w:val="en-GB"/>
              </w:rPr>
            </w:pPr>
            <w:r>
              <w:rPr>
                <w:b/>
                <w:noProof/>
                <w:lang w:val="en-GB" w:eastAsia="en-GB" w:bidi="ar-SA"/>
              </w:rPr>
              <mc:AlternateContent>
                <mc:Choice Requires="wps">
                  <w:drawing>
                    <wp:anchor distT="0" distB="0" distL="114300" distR="114300" simplePos="0" relativeHeight="251669504" behindDoc="1" locked="0" layoutInCell="0" allowOverlap="1" wp14:anchorId="7AB9B963" wp14:editId="4209F60A">
                      <wp:simplePos x="0" y="0"/>
                      <wp:positionH relativeFrom="page">
                        <wp:posOffset>4696460</wp:posOffset>
                      </wp:positionH>
                      <wp:positionV relativeFrom="paragraph">
                        <wp:posOffset>3361690</wp:posOffset>
                      </wp:positionV>
                      <wp:extent cx="0" cy="0"/>
                      <wp:effectExtent l="10160" t="13970" r="8890" b="508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5A73F" id="Freeform 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9.8pt,264.7pt,369.8pt,264.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" o:allowincell="f" filled="f" strokecolor="#000750" strokeweight=".5pt">
                      <v:path arrowok="t" o:connecttype="custom" o:connectlocs="0,0;0,0" o:connectangles="0,0"/>
                      <w10:wrap anchorx="page"/>
                    </v:polyline>
                  </w:pict>
                </mc:Fallback>
              </mc:AlternateContent>
            </w:r>
            <w:r>
              <w:rPr>
                <w:b/>
                <w:lang w:val="en-GB"/>
              </w:rPr>
              <w:t>25.1 A fund manager</w:t>
            </w:r>
            <w:r w:rsidRPr="00B325C2">
              <w:rPr>
                <w:b/>
                <w:lang w:val="en-GB"/>
              </w:rPr>
              <w:t xml:space="preserve"> should have a proxy voting policy which allows investors to evaluate the general approach the manager takes towards proxy voting.  A summary thereof should be made available to investee companies on request.   </w:t>
            </w:r>
          </w:p>
          <w:p w14:paraId="75196F81" w14:textId="77777777" w:rsidR="00A844C3" w:rsidRPr="00B325C2" w:rsidRDefault="00A844C3" w:rsidP="001B14A3">
            <w:pPr>
              <w:pStyle w:val="ListBullet"/>
              <w:numPr>
                <w:ilvl w:val="0"/>
                <w:numId w:val="0"/>
              </w:numPr>
              <w:spacing w:after="120" w:line="240" w:lineRule="auto"/>
              <w:ind w:left="360"/>
              <w:rPr>
                <w:lang w:val="en-GB"/>
              </w:rPr>
            </w:pPr>
            <w:r w:rsidRPr="00B325C2">
              <w:rPr>
                <w:lang w:val="en-GB"/>
              </w:rPr>
              <w:t xml:space="preserve">The </w:t>
            </w:r>
            <w:r>
              <w:rPr>
                <w:lang w:val="en-GB"/>
              </w:rPr>
              <w:t>SBAI</w:t>
            </w:r>
            <w:r w:rsidRPr="00B325C2">
              <w:rPr>
                <w:lang w:val="en-GB"/>
              </w:rPr>
              <w:t xml:space="preserve"> envisages that a voting policy might include the following elements:</w:t>
            </w:r>
          </w:p>
          <w:p w14:paraId="6BD79B2D" w14:textId="6803AA9C" w:rsidR="00A844C3" w:rsidRDefault="005B2A1A" w:rsidP="001B14A3">
            <w:pPr>
              <w:pStyle w:val="ListBullet2"/>
              <w:spacing w:after="120" w:line="240" w:lineRule="auto"/>
              <w:ind w:hanging="295"/>
              <w:rPr>
                <w:rFonts w:ascii="Arial" w:hAnsi="Arial" w:cs="Arial"/>
                <w:sz w:val="20"/>
                <w:lang w:val="en-GB"/>
              </w:rPr>
            </w:pPr>
            <w:r>
              <w:rPr>
                <w:lang w:val="en-GB"/>
              </w:rPr>
              <w:t>G</w:t>
            </w:r>
            <w:r w:rsidR="00A844C3" w:rsidRPr="00B325C2">
              <w:rPr>
                <w:lang w:val="en-GB"/>
              </w:rPr>
              <w:t>uidelines as to the process to be followed to decide how to exercise voting rights, including responsibility to vote and mechanisms to resolve potential conflicts of interest</w:t>
            </w:r>
            <w:r>
              <w:rPr>
                <w:lang w:val="en-GB"/>
              </w:rPr>
              <w:t>,</w:t>
            </w:r>
          </w:p>
          <w:p w14:paraId="4968FC2B" w14:textId="3CDF11E7" w:rsidR="00A844C3" w:rsidRDefault="005B2A1A" w:rsidP="001B14A3">
            <w:pPr>
              <w:pStyle w:val="ListBullet2"/>
              <w:spacing w:after="120" w:line="240" w:lineRule="auto"/>
              <w:ind w:hanging="295"/>
              <w:rPr>
                <w:rFonts w:ascii="Arial" w:hAnsi="Arial" w:cs="Arial"/>
                <w:sz w:val="20"/>
                <w:lang w:val="en-GB"/>
              </w:rPr>
            </w:pPr>
            <w:r>
              <w:rPr>
                <w:lang w:val="en-GB"/>
              </w:rPr>
              <w:t>A</w:t>
            </w:r>
            <w:r w:rsidR="00A844C3" w:rsidRPr="00B325C2">
              <w:rPr>
                <w:lang w:val="en-GB"/>
              </w:rPr>
              <w:t xml:space="preserve"> mechanism to review proposals that are not considered to be in the best overall interests of a company in which the fund is invested</w:t>
            </w:r>
            <w:r>
              <w:rPr>
                <w:lang w:val="en-GB"/>
              </w:rPr>
              <w:t>,</w:t>
            </w:r>
          </w:p>
          <w:p w14:paraId="5B9EC9F9" w14:textId="3EE55AD6" w:rsidR="00A844C3" w:rsidRDefault="005B2A1A" w:rsidP="001B14A3">
            <w:pPr>
              <w:pStyle w:val="ListBullet2"/>
              <w:spacing w:after="120" w:line="240" w:lineRule="auto"/>
              <w:ind w:hanging="295"/>
              <w:rPr>
                <w:rFonts w:ascii="Arial" w:hAnsi="Arial" w:cs="Arial"/>
                <w:sz w:val="20"/>
                <w:lang w:val="en-GB"/>
              </w:rPr>
            </w:pPr>
            <w:r>
              <w:rPr>
                <w:lang w:val="en-GB"/>
              </w:rPr>
              <w:t>A</w:t>
            </w:r>
            <w:r w:rsidR="00A844C3" w:rsidRPr="00B325C2">
              <w:rPr>
                <w:lang w:val="en-GB"/>
              </w:rPr>
              <w:t xml:space="preserve"> process for deciding when and how to communicate with an investee company’s management or board of directors and other shareholders</w:t>
            </w:r>
            <w:r>
              <w:rPr>
                <w:lang w:val="en-GB"/>
              </w:rPr>
              <w:t>,</w:t>
            </w:r>
            <w:r w:rsidR="00A844C3" w:rsidRPr="00B325C2">
              <w:rPr>
                <w:lang w:val="en-GB"/>
              </w:rPr>
              <w:t xml:space="preserve"> and</w:t>
            </w:r>
          </w:p>
          <w:p w14:paraId="75B732D1" w14:textId="00D0AF52" w:rsidR="00A844C3" w:rsidRDefault="005B2A1A" w:rsidP="001B14A3">
            <w:pPr>
              <w:pStyle w:val="ListBullet2"/>
              <w:spacing w:after="120" w:line="240" w:lineRule="auto"/>
              <w:ind w:hanging="295"/>
              <w:rPr>
                <w:color w:val="000000"/>
                <w:sz w:val="10"/>
                <w:lang w:val="en-GB"/>
              </w:rPr>
            </w:pPr>
            <w:r>
              <w:rPr>
                <w:lang w:val="en-GB"/>
              </w:rPr>
              <w:t>A</w:t>
            </w:r>
            <w:r w:rsidR="00A844C3" w:rsidRPr="00B325C2">
              <w:rPr>
                <w:lang w:val="en-GB"/>
              </w:rPr>
              <w:t xml:space="preserve"> process for determining whether to join the efforts of other concerned investors, with due regard to compliance procedures to prevent market abuse (see Guidance in Standard [24] </w:t>
            </w:r>
            <w:r w:rsidR="00A844C3" w:rsidRPr="00B325C2">
              <w:rPr>
                <w:i/>
                <w:lang w:val="en-GB"/>
              </w:rPr>
              <w:t>(Prevention of market abuse)</w:t>
            </w:r>
            <w:r w:rsidR="00A844C3" w:rsidRPr="00B325C2">
              <w:rPr>
                <w:lang w:val="en-GB"/>
              </w:rPr>
              <w:t>).</w:t>
            </w:r>
          </w:p>
          <w:p w14:paraId="10256235" w14:textId="77777777" w:rsidR="00A844C3" w:rsidRPr="0054294F" w:rsidRDefault="00A844C3" w:rsidP="001B14A3">
            <w:pPr>
              <w:pStyle w:val="ListBullet"/>
              <w:numPr>
                <w:ilvl w:val="0"/>
                <w:numId w:val="0"/>
              </w:numPr>
              <w:spacing w:after="120" w:line="240" w:lineRule="auto"/>
              <w:ind w:left="357"/>
              <w:rPr>
                <w:lang w:val="en-GB"/>
              </w:rPr>
            </w:pPr>
            <w:r w:rsidRPr="00B325C2">
              <w:rPr>
                <w:lang w:val="en-GB"/>
              </w:rPr>
              <w:t>It is acknowledged that prime brokers will often not undertake to notify funds or their managers of corporate events. The proxy voting policy may well state, therefore, that the manager's ability to follow such policy will depend on its being aware of the opportunity to vote.</w:t>
            </w:r>
          </w:p>
          <w:p w14:paraId="05353C7C" w14:textId="77777777" w:rsidR="00A844C3" w:rsidRPr="00D2569B" w:rsidRDefault="00A844C3" w:rsidP="001B14A3">
            <w:pPr>
              <w:pStyle w:val="ListBullet"/>
              <w:numPr>
                <w:ilvl w:val="0"/>
                <w:numId w:val="0"/>
              </w:numPr>
              <w:spacing w:after="120" w:line="240" w:lineRule="auto"/>
              <w:ind w:left="357"/>
              <w:rPr>
                <w:i/>
                <w:lang w:val="en-GB"/>
              </w:rPr>
            </w:pPr>
            <w:r w:rsidRPr="00B325C2">
              <w:rPr>
                <w:i/>
                <w:lang w:val="en-GB"/>
              </w:rPr>
              <w:t xml:space="preserve">The </w:t>
            </w:r>
            <w:r>
              <w:rPr>
                <w:i/>
                <w:lang w:val="en-GB"/>
              </w:rPr>
              <w:t>SBAI</w:t>
            </w:r>
            <w:r w:rsidRPr="00B325C2">
              <w:rPr>
                <w:i/>
                <w:lang w:val="en-GB"/>
              </w:rPr>
              <w:t xml:space="preserve"> acknowledges that it may not be part of a manager’s strategy to vote all proxies (e.g., “black box” traders</w:t>
            </w:r>
            <w:r w:rsidRPr="00B325C2">
              <w:rPr>
                <w:rStyle w:val="FootnoteReference"/>
                <w:i/>
                <w:lang w:val="en-GB"/>
              </w:rPr>
              <w:footnoteReference w:id="48"/>
            </w:r>
            <w:r w:rsidRPr="00B325C2">
              <w:rPr>
                <w:i/>
                <w:position w:val="6"/>
                <w:sz w:val="12"/>
                <w:lang w:val="en-GB"/>
              </w:rPr>
              <w:t xml:space="preserve">  </w:t>
            </w:r>
            <w:r w:rsidRPr="00B325C2">
              <w:rPr>
                <w:i/>
                <w:lang w:val="en-GB"/>
              </w:rPr>
              <w:t>) and a manager might, for cost benefit considerations, adopt a systematic approach, for example never voting except in exceptional circumstances rather than evaluating each proxy situation.  In such circumstances, this should be explained to investors in accordance with the comply or explain regime.</w:t>
            </w:r>
          </w:p>
        </w:tc>
      </w:tr>
    </w:tbl>
    <w:p w14:paraId="2D55D477" w14:textId="77777777" w:rsidR="004C718F" w:rsidRDefault="004C718F" w:rsidP="004C718F">
      <w:pPr>
        <w:pStyle w:val="NoSpacing"/>
      </w:pPr>
      <w:bookmarkStart w:id="30" w:name="_Toc181508721"/>
      <w:bookmarkStart w:id="31" w:name="_Toc185306196"/>
    </w:p>
    <w:p w14:paraId="443773FA" w14:textId="4763E29F" w:rsidR="00A844C3" w:rsidRDefault="00A844C3" w:rsidP="00A844C3">
      <w:pPr>
        <w:pStyle w:val="Heading3"/>
      </w:pPr>
      <w:r w:rsidRPr="00D1184D">
        <w:t xml:space="preserve">Proxy </w:t>
      </w:r>
      <w:r>
        <w:t>V</w:t>
      </w:r>
      <w:r w:rsidRPr="00D1184D">
        <w:t>oting – Disclosure</w:t>
      </w:r>
      <w:bookmarkEnd w:id="30"/>
      <w:bookmarkEnd w:id="31"/>
      <w:r w:rsidRPr="00D1184D">
        <w:t xml:space="preserve"> Standards and Guidance [26]</w:t>
      </w:r>
    </w:p>
    <w:p w14:paraId="1E69272C" w14:textId="77777777" w:rsidR="00A844C3" w:rsidRPr="00936224"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6BD684EE" w14:textId="77777777" w:rsidTr="001B14A3">
        <w:trPr>
          <w:trHeight w:val="1154"/>
        </w:trPr>
        <w:tc>
          <w:tcPr>
            <w:tcW w:w="9464" w:type="dxa"/>
            <w:shd w:val="clear" w:color="auto" w:fill="F7F9FB" w:themeFill="accent1" w:themeFillTint="33"/>
          </w:tcPr>
          <w:p w14:paraId="4310854C" w14:textId="77777777" w:rsidR="00A844C3" w:rsidRDefault="00A844C3" w:rsidP="001B14A3">
            <w:pPr>
              <w:pStyle w:val="ListBullet"/>
              <w:numPr>
                <w:ilvl w:val="0"/>
                <w:numId w:val="0"/>
              </w:numPr>
              <w:spacing w:after="120"/>
              <w:ind w:left="360" w:hanging="360"/>
              <w:rPr>
                <w:b/>
                <w:lang w:val="en-GB"/>
              </w:rPr>
            </w:pPr>
            <w:r>
              <w:rPr>
                <w:b/>
                <w:noProof/>
                <w:lang w:val="en-GB" w:eastAsia="en-GB" w:bidi="ar-SA"/>
              </w:rPr>
              <mc:AlternateContent>
                <mc:Choice Requires="wps">
                  <w:drawing>
                    <wp:anchor distT="0" distB="0" distL="114300" distR="114300" simplePos="0" relativeHeight="251670528" behindDoc="1" locked="0" layoutInCell="0" allowOverlap="1" wp14:anchorId="1330A6D7" wp14:editId="4C7D4B57">
                      <wp:simplePos x="0" y="0"/>
                      <wp:positionH relativeFrom="page">
                        <wp:posOffset>4288790</wp:posOffset>
                      </wp:positionH>
                      <wp:positionV relativeFrom="paragraph">
                        <wp:posOffset>798195</wp:posOffset>
                      </wp:positionV>
                      <wp:extent cx="0" cy="0"/>
                      <wp:effectExtent l="12065" t="10795" r="6985" b="825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6D6321" id="Freeform 5"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7pt,62.85pt,337.7pt,62.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" o:allowincell="f" filled="f" strokecolor="#000750" strokeweight=".5pt">
                      <v:path arrowok="t" o:connecttype="custom" o:connectlocs="0,0;0,0" o:connectangles="0,0"/>
                      <w10:wrap anchorx="page"/>
                    </v:polyline>
                  </w:pict>
                </mc:Fallback>
              </mc:AlternateContent>
            </w:r>
            <w:r>
              <w:rPr>
                <w:b/>
                <w:lang w:val="en-GB"/>
              </w:rPr>
              <w:t>26.1 A fund manager</w:t>
            </w:r>
            <w:r w:rsidRPr="00B325C2">
              <w:rPr>
                <w:b/>
                <w:lang w:val="en-GB"/>
              </w:rPr>
              <w:t xml:space="preserve">'s proxy voting policy should be made available to investors upon request. </w:t>
            </w:r>
            <w:r>
              <w:rPr>
                <w:b/>
                <w:lang w:val="en-GB"/>
              </w:rPr>
              <w:t>A fund manager</w:t>
            </w:r>
            <w:r w:rsidRPr="00B325C2">
              <w:rPr>
                <w:b/>
                <w:lang w:val="en-GB"/>
              </w:rPr>
              <w:t xml:space="preserve"> should also document cases where the voting policy has not been followed and report accordingly to the fund governing body.</w:t>
            </w:r>
          </w:p>
        </w:tc>
      </w:tr>
    </w:tbl>
    <w:p w14:paraId="5423FD69" w14:textId="77777777" w:rsidR="00193A0D" w:rsidRDefault="00193A0D" w:rsidP="00193A0D">
      <w:pPr>
        <w:spacing w:after="0"/>
      </w:pPr>
    </w:p>
    <w:p w14:paraId="1FB693E0" w14:textId="376FB949" w:rsidR="00A844C3" w:rsidRDefault="00A844C3" w:rsidP="00193A0D">
      <w:pPr>
        <w:pStyle w:val="Heading3"/>
        <w:spacing w:after="120"/>
      </w:pPr>
      <w:r w:rsidRPr="00D1184D">
        <w:lastRenderedPageBreak/>
        <w:t xml:space="preserve">Disclosure of </w:t>
      </w:r>
      <w:r>
        <w:t>D</w:t>
      </w:r>
      <w:r w:rsidRPr="00D1184D">
        <w:t xml:space="preserve">erivative </w:t>
      </w:r>
      <w:r>
        <w:t>P</w:t>
      </w:r>
      <w:r w:rsidRPr="00D1184D">
        <w:t>ositions [27]</w:t>
      </w:r>
    </w:p>
    <w:p w14:paraId="3A53C421" w14:textId="77777777" w:rsidR="00A844C3" w:rsidRPr="00B325C2" w:rsidRDefault="00A844C3" w:rsidP="00A844C3">
      <w:pPr>
        <w:spacing w:after="120"/>
      </w:pPr>
      <w:r w:rsidRPr="00B325C2">
        <w:t>Derivatives such as Contracts for Difference ("CFDs") allow investors to obtain economic exposure to stocks. There are many reasons for seeking exposure via derivatives rather than buying the stock directly, including market access, stamp tax and funding/leverage</w:t>
      </w:r>
      <w:r w:rsidRPr="00B325C2">
        <w:rPr>
          <w:rStyle w:val="FootnoteReference"/>
        </w:rPr>
        <w:footnoteReference w:id="49"/>
      </w:r>
      <w:r w:rsidRPr="00B325C2">
        <w:t xml:space="preserve">. </w:t>
      </w:r>
      <w:r>
        <w:t>T</w:t>
      </w:r>
      <w:r w:rsidRPr="00B325C2">
        <w:t>hese derivatives do not normally fall under the same disclosure requirements (in the UK, for example, under the FSA’s Disclosure and Transparency Rules</w:t>
      </w:r>
      <w:r w:rsidRPr="00B325C2">
        <w:rPr>
          <w:rStyle w:val="FootnoteReference"/>
        </w:rPr>
        <w:footnoteReference w:id="50"/>
      </w:r>
      <w:r w:rsidRPr="00B325C2">
        <w:t>) as shares owned outright.</w:t>
      </w:r>
      <w:r w:rsidRPr="00B325C2">
        <w:rPr>
          <w:rStyle w:val="FootnoteReference"/>
        </w:rPr>
        <w:footnoteReference w:id="51"/>
      </w:r>
    </w:p>
    <w:p w14:paraId="3A97F1F7" w14:textId="0B1AC349" w:rsidR="00A844C3" w:rsidRPr="004C718F" w:rsidRDefault="00A844C3" w:rsidP="004C718F">
      <w:pPr>
        <w:pStyle w:val="NoSpacing"/>
        <w:rPr>
          <w:b/>
          <w:bCs/>
        </w:rPr>
      </w:pPr>
      <w:bookmarkStart w:id="32" w:name="_Toc181508726"/>
      <w:bookmarkStart w:id="33" w:name="_Toc185306201"/>
      <w:r w:rsidRPr="004C718F">
        <w:rPr>
          <w:b/>
          <w:bCs/>
        </w:rPr>
        <w:t>Disclosure of Derivative Positions</w:t>
      </w:r>
      <w:bookmarkEnd w:id="32"/>
      <w:bookmarkEnd w:id="33"/>
    </w:p>
    <w:p w14:paraId="1CC28EB4" w14:textId="77777777" w:rsidR="004C718F" w:rsidRDefault="004C718F" w:rsidP="004C718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A844C3" w:rsidRPr="00B325C2" w14:paraId="2498E53B" w14:textId="77777777" w:rsidTr="001B14A3">
        <w:trPr>
          <w:trHeight w:val="1200"/>
        </w:trPr>
        <w:tc>
          <w:tcPr>
            <w:tcW w:w="9464" w:type="dxa"/>
          </w:tcPr>
          <w:p w14:paraId="722A719C" w14:textId="77777777" w:rsidR="00A844C3" w:rsidRPr="00B325C2" w:rsidRDefault="00A844C3" w:rsidP="001B14A3">
            <w:pPr>
              <w:spacing w:after="120"/>
              <w:rPr>
                <w:i/>
              </w:rPr>
            </w:pPr>
            <w:r>
              <w:rPr>
                <w:i/>
                <w:noProof/>
                <w:lang w:eastAsia="en-GB"/>
              </w:rPr>
              <mc:AlternateContent>
                <mc:Choice Requires="wps">
                  <w:drawing>
                    <wp:anchor distT="0" distB="0" distL="114300" distR="114300" simplePos="0" relativeHeight="251671552" behindDoc="1" locked="0" layoutInCell="0" allowOverlap="1" wp14:anchorId="7DC01C26" wp14:editId="4E04CBF3">
                      <wp:simplePos x="0" y="0"/>
                      <wp:positionH relativeFrom="page">
                        <wp:posOffset>4061460</wp:posOffset>
                      </wp:positionH>
                      <wp:positionV relativeFrom="paragraph">
                        <wp:posOffset>2113280</wp:posOffset>
                      </wp:positionV>
                      <wp:extent cx="0" cy="0"/>
                      <wp:effectExtent l="13335" t="11430" r="5715" b="762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C0FDA5" id="Freeform 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9.8pt,166.4pt,319.8pt,166.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" o:allowincell="f" filled="f" strokecolor="#000750" strokeweight=".5pt">
                      <v:path arrowok="t" o:connecttype="custom" o:connectlocs="0,0;0,0" o:connectangles="0,0"/>
                      <w10:wrap anchorx="page"/>
                    </v:polyline>
                  </w:pict>
                </mc:Fallback>
              </mc:AlternateContent>
            </w:r>
            <w:r w:rsidRPr="00B325C2">
              <w:rPr>
                <w:i/>
              </w:rPr>
              <w:t xml:space="preserve">The </w:t>
            </w:r>
            <w:r>
              <w:rPr>
                <w:i/>
              </w:rPr>
              <w:t>SBAI</w:t>
            </w:r>
            <w:r w:rsidRPr="00B325C2">
              <w:rPr>
                <w:i/>
              </w:rPr>
              <w:t xml:space="preserve"> acknowledges that companies have a right to know who owns them or who has an ability to easily obtain significant voting power. </w:t>
            </w:r>
          </w:p>
          <w:p w14:paraId="6155688D" w14:textId="77777777" w:rsidR="00A844C3" w:rsidRPr="00D2569B" w:rsidRDefault="00A844C3" w:rsidP="001B14A3">
            <w:pPr>
              <w:spacing w:after="120"/>
              <w:rPr>
                <w:i/>
              </w:rPr>
            </w:pPr>
            <w:r w:rsidRPr="00B325C2">
              <w:rPr>
                <w:i/>
              </w:rPr>
              <w:t xml:space="preserve">However, the voluntary adoption of enhanced disclosure requirements by </w:t>
            </w:r>
            <w:r>
              <w:rPr>
                <w:i/>
              </w:rPr>
              <w:t>fund manager</w:t>
            </w:r>
            <w:r w:rsidRPr="00B325C2">
              <w:rPr>
                <w:i/>
              </w:rPr>
              <w:t xml:space="preserve">s (or any other </w:t>
            </w:r>
            <w:proofErr w:type="gramStart"/>
            <w:r w:rsidRPr="00B325C2">
              <w:rPr>
                <w:i/>
              </w:rPr>
              <w:t>particular sector</w:t>
            </w:r>
            <w:proofErr w:type="gramEnd"/>
            <w:r w:rsidRPr="00B325C2">
              <w:rPr>
                <w:i/>
              </w:rPr>
              <w:t xml:space="preserve"> of the market) would cause distortions in the marketplace because they would not apply to all market participants but </w:t>
            </w:r>
            <w:r>
              <w:rPr>
                <w:i/>
              </w:rPr>
              <w:t xml:space="preserve">only </w:t>
            </w:r>
            <w:r w:rsidRPr="00B325C2">
              <w:rPr>
                <w:i/>
              </w:rPr>
              <w:t xml:space="preserve">to </w:t>
            </w:r>
            <w:r>
              <w:rPr>
                <w:i/>
              </w:rPr>
              <w:t>fund manager</w:t>
            </w:r>
            <w:r w:rsidRPr="00B325C2">
              <w:rPr>
                <w:i/>
              </w:rPr>
              <w:t>s.</w:t>
            </w:r>
          </w:p>
        </w:tc>
      </w:tr>
    </w:tbl>
    <w:p w14:paraId="20252295" w14:textId="77777777" w:rsidR="00A844C3" w:rsidRPr="00D1184D" w:rsidRDefault="00A844C3" w:rsidP="00A844C3">
      <w:pPr>
        <w:pStyle w:val="Heading2"/>
      </w:pPr>
      <w:bookmarkStart w:id="34" w:name="_Toc181508730"/>
      <w:bookmarkStart w:id="35" w:name="_Toc185306205"/>
      <w:r w:rsidRPr="00D1184D">
        <w:t xml:space="preserve">Borrowing </w:t>
      </w:r>
      <w:r>
        <w:t>S</w:t>
      </w:r>
      <w:r w:rsidRPr="00D1184D">
        <w:t xml:space="preserve">tock to </w:t>
      </w:r>
      <w:r>
        <w:t>V</w:t>
      </w:r>
      <w:r w:rsidRPr="00D1184D">
        <w:t>ote [28]</w:t>
      </w:r>
    </w:p>
    <w:p w14:paraId="4BAC6760" w14:textId="77777777" w:rsidR="00A844C3" w:rsidRDefault="00A844C3" w:rsidP="00A844C3">
      <w:pPr>
        <w:pStyle w:val="Heading3"/>
      </w:pPr>
      <w:r w:rsidRPr="00D1184D">
        <w:t xml:space="preserve">Borrowing </w:t>
      </w:r>
      <w:r>
        <w:t>S</w:t>
      </w:r>
      <w:r w:rsidRPr="00D1184D">
        <w:t>tock</w:t>
      </w:r>
      <w:bookmarkEnd w:id="34"/>
      <w:bookmarkEnd w:id="35"/>
      <w:r w:rsidRPr="00D1184D">
        <w:t xml:space="preserve"> to </w:t>
      </w:r>
      <w:r>
        <w:t>V</w:t>
      </w:r>
      <w:r w:rsidRPr="00D1184D">
        <w:t>ote – Governance Standards and Guidance [28]</w:t>
      </w:r>
    </w:p>
    <w:p w14:paraId="30069F06" w14:textId="77777777" w:rsidR="00A844C3" w:rsidRPr="00936224" w:rsidRDefault="00A844C3" w:rsidP="00A844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9FB" w:themeFill="accent1" w:themeFillTint="33"/>
        <w:tblLook w:val="01E0" w:firstRow="1" w:lastRow="1" w:firstColumn="1" w:lastColumn="1" w:noHBand="0" w:noVBand="0"/>
      </w:tblPr>
      <w:tblGrid>
        <w:gridCol w:w="9182"/>
      </w:tblGrid>
      <w:tr w:rsidR="00A844C3" w:rsidRPr="00B325C2" w14:paraId="4A9622A7" w14:textId="77777777" w:rsidTr="001B14A3">
        <w:trPr>
          <w:trHeight w:val="901"/>
        </w:trPr>
        <w:tc>
          <w:tcPr>
            <w:tcW w:w="9464" w:type="dxa"/>
            <w:shd w:val="clear" w:color="auto" w:fill="F7F9FB" w:themeFill="accent1" w:themeFillTint="33"/>
          </w:tcPr>
          <w:p w14:paraId="090F7828" w14:textId="77777777" w:rsidR="00A844C3" w:rsidRDefault="00A844C3" w:rsidP="001B14A3">
            <w:pPr>
              <w:pStyle w:val="ListBullet"/>
              <w:numPr>
                <w:ilvl w:val="0"/>
                <w:numId w:val="0"/>
              </w:numPr>
              <w:ind w:left="360" w:hanging="360"/>
              <w:rPr>
                <w:b/>
                <w:lang w:val="en-GB"/>
              </w:rPr>
            </w:pPr>
            <w:r>
              <w:rPr>
                <w:b/>
                <w:noProof/>
                <w:lang w:val="en-GB" w:eastAsia="en-GB" w:bidi="ar-SA"/>
              </w:rPr>
              <mc:AlternateContent>
                <mc:Choice Requires="wps">
                  <w:drawing>
                    <wp:anchor distT="0" distB="0" distL="114300" distR="114300" simplePos="0" relativeHeight="251672576" behindDoc="1" locked="0" layoutInCell="0" allowOverlap="1" wp14:anchorId="291103B8" wp14:editId="0CC8668A">
                      <wp:simplePos x="0" y="0"/>
                      <wp:positionH relativeFrom="page">
                        <wp:posOffset>3771900</wp:posOffset>
                      </wp:positionH>
                      <wp:positionV relativeFrom="paragraph">
                        <wp:posOffset>1107440</wp:posOffset>
                      </wp:positionV>
                      <wp:extent cx="0" cy="0"/>
                      <wp:effectExtent l="9525" t="11430" r="9525" b="7620"/>
                      <wp:wrapNone/>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6350">
                                <a:solidFill>
                                  <a:srgbClr val="0007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5040B8" id="Freeform 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pt,87.2pt,297pt,87.2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" o:allowincell="f" filled="f" strokecolor="#000750" strokeweight=".5pt">
                      <v:path arrowok="t" o:connecttype="custom" o:connectlocs="0,0;0,0" o:connectangles="0,0"/>
                      <w10:wrap anchorx="page"/>
                    </v:polyline>
                  </w:pict>
                </mc:Fallback>
              </mc:AlternateContent>
            </w:r>
            <w:r>
              <w:rPr>
                <w:b/>
                <w:lang w:val="en-GB"/>
              </w:rPr>
              <w:t>28.1 A fund manager</w:t>
            </w:r>
            <w:r w:rsidRPr="00B325C2">
              <w:rPr>
                <w:b/>
                <w:lang w:val="en-GB"/>
              </w:rPr>
              <w:t xml:space="preserve"> should not borrow stock </w:t>
            </w:r>
            <w:proofErr w:type="gramStart"/>
            <w:r w:rsidRPr="00B325C2">
              <w:rPr>
                <w:b/>
                <w:lang w:val="en-GB"/>
              </w:rPr>
              <w:t>in order to</w:t>
            </w:r>
            <w:proofErr w:type="gramEnd"/>
            <w:r w:rsidRPr="00B325C2">
              <w:rPr>
                <w:b/>
                <w:lang w:val="en-GB"/>
              </w:rPr>
              <w:t xml:space="preserve"> vote.</w:t>
            </w:r>
          </w:p>
          <w:p w14:paraId="31815B3E" w14:textId="77777777" w:rsidR="00A844C3" w:rsidRPr="00D2569B" w:rsidRDefault="00A844C3" w:rsidP="001B14A3">
            <w:pPr>
              <w:autoSpaceDE w:val="0"/>
              <w:autoSpaceDN w:val="0"/>
              <w:adjustRightInd w:val="0"/>
              <w:ind w:left="360"/>
            </w:pPr>
            <w:r w:rsidRPr="00B325C2">
              <w:t xml:space="preserve">The </w:t>
            </w:r>
            <w:r>
              <w:t>SBAI</w:t>
            </w:r>
            <w:r w:rsidRPr="00B325C2">
              <w:t xml:space="preserve"> acknowledges that there might be specific situations where it should be acceptable to vote on borrowed stock, e.g., when a fund is invested in shares (and the trade has settled), but the shares have not transferred into their name.</w:t>
            </w:r>
            <w:r w:rsidRPr="00B325C2">
              <w:rPr>
                <w:highlight w:val="yellow"/>
              </w:rPr>
              <w:t xml:space="preserve"> </w:t>
            </w:r>
          </w:p>
        </w:tc>
      </w:tr>
    </w:tbl>
    <w:p w14:paraId="4BFE0E32" w14:textId="1B1740ED" w:rsidR="005C3C2B" w:rsidRDefault="00CC3C1D" w:rsidP="005C3C2B">
      <w:pPr>
        <w:pStyle w:val="Heading1"/>
      </w:pPr>
      <w:r>
        <w:t xml:space="preserve">4. </w:t>
      </w:r>
      <w:r w:rsidR="005C3C2B">
        <w:t>Appendices</w:t>
      </w:r>
    </w:p>
    <w:p w14:paraId="70E21A6C" w14:textId="77777777" w:rsidR="008C6915" w:rsidRDefault="008C6915" w:rsidP="008C6915">
      <w:pPr>
        <w:pStyle w:val="Heading2"/>
      </w:pPr>
      <w:r>
        <w:t>Appendix B: Examples of Functions often covered by Service Level Agreements (SLA)</w:t>
      </w:r>
    </w:p>
    <w:p w14:paraId="2D1C8723" w14:textId="77777777" w:rsidR="008C6915" w:rsidRPr="006556E7" w:rsidRDefault="008C6915" w:rsidP="008C6915">
      <w:pPr>
        <w:spacing w:after="0"/>
      </w:pPr>
    </w:p>
    <w:tbl>
      <w:tblPr>
        <w:tblStyle w:val="TableGrid"/>
        <w:tblW w:w="9715" w:type="dxa"/>
        <w:tblLook w:val="04A0" w:firstRow="1" w:lastRow="0" w:firstColumn="1" w:lastColumn="0" w:noHBand="0" w:noVBand="1"/>
      </w:tblPr>
      <w:tblGrid>
        <w:gridCol w:w="1377"/>
        <w:gridCol w:w="8338"/>
      </w:tblGrid>
      <w:tr w:rsidR="008C6915" w14:paraId="35B7C89F" w14:textId="77777777" w:rsidTr="001B14A3">
        <w:tc>
          <w:tcPr>
            <w:tcW w:w="1377" w:type="dxa"/>
          </w:tcPr>
          <w:p w14:paraId="3A7924C1" w14:textId="77777777" w:rsidR="008C6915" w:rsidRPr="00FD3F02" w:rsidRDefault="008C6915" w:rsidP="001B14A3">
            <w:pPr>
              <w:pStyle w:val="Filestamp"/>
              <w:rPr>
                <w:rFonts w:asciiTheme="minorHAnsi" w:hAnsiTheme="minorHAnsi" w:cs="Times New Roman"/>
                <w:sz w:val="20"/>
                <w:lang w:val="en-GB"/>
              </w:rPr>
            </w:pPr>
            <w:r w:rsidRPr="00FD3F02">
              <w:rPr>
                <w:rFonts w:asciiTheme="minorHAnsi" w:hAnsiTheme="minorHAnsi" w:cs="Times New Roman"/>
                <w:sz w:val="20"/>
                <w:lang w:val="en-GB"/>
              </w:rPr>
              <w:t>Net Asset Value and Share Price calculation</w:t>
            </w:r>
          </w:p>
          <w:p w14:paraId="5483CE30" w14:textId="77777777" w:rsidR="008C6915" w:rsidRPr="00FD3F02" w:rsidRDefault="008C6915" w:rsidP="001B14A3">
            <w:pPr>
              <w:pStyle w:val="Filestamp"/>
              <w:rPr>
                <w:rFonts w:asciiTheme="minorHAnsi" w:hAnsiTheme="minorHAnsi" w:cs="Times New Roman"/>
                <w:sz w:val="20"/>
                <w:lang w:val="en-GB"/>
              </w:rPr>
            </w:pPr>
          </w:p>
        </w:tc>
        <w:tc>
          <w:tcPr>
            <w:tcW w:w="8338" w:type="dxa"/>
          </w:tcPr>
          <w:p w14:paraId="5F89EB9D"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Timing of NAV release (including estimated NAVs)</w:t>
            </w:r>
          </w:p>
          <w:p w14:paraId="4920E09E"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Process for NAV sign-off (roles and responsibilities)</w:t>
            </w:r>
          </w:p>
          <w:p w14:paraId="0D55ED89"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NAV and other reporting requirements</w:t>
            </w:r>
          </w:p>
          <w:p w14:paraId="348655F8"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Valuation policy (particular reference to hard-to-value instruments and use of estimates)</w:t>
            </w:r>
          </w:p>
          <w:p w14:paraId="209CE396"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Process for ensuring completeness and existence of positions (reconciliations of cash and positions, trade confirmations etc)</w:t>
            </w:r>
          </w:p>
          <w:p w14:paraId="3DD3B8D3"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Sign off and notification of share price to external parties</w:t>
            </w:r>
          </w:p>
          <w:p w14:paraId="7E664D7E"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Errors policy in place</w:t>
            </w:r>
          </w:p>
        </w:tc>
      </w:tr>
      <w:tr w:rsidR="008C6915" w14:paraId="49B6F3D1" w14:textId="77777777" w:rsidTr="001B14A3">
        <w:tc>
          <w:tcPr>
            <w:tcW w:w="1377" w:type="dxa"/>
          </w:tcPr>
          <w:p w14:paraId="66983A53" w14:textId="77777777" w:rsidR="008C6915" w:rsidRPr="00FD3F02" w:rsidRDefault="008C6915" w:rsidP="001B14A3">
            <w:pPr>
              <w:pStyle w:val="Filestamp"/>
              <w:rPr>
                <w:rFonts w:asciiTheme="minorHAnsi" w:hAnsiTheme="minorHAnsi" w:cs="Times New Roman"/>
                <w:sz w:val="20"/>
                <w:lang w:val="en-GB"/>
              </w:rPr>
            </w:pPr>
            <w:r w:rsidRPr="00FD3F02">
              <w:rPr>
                <w:rFonts w:asciiTheme="minorHAnsi" w:hAnsiTheme="minorHAnsi" w:cs="Times New Roman"/>
                <w:sz w:val="20"/>
                <w:lang w:val="en-GB"/>
              </w:rPr>
              <w:t>Shareholder Services</w:t>
            </w:r>
          </w:p>
        </w:tc>
        <w:tc>
          <w:tcPr>
            <w:tcW w:w="8338" w:type="dxa"/>
          </w:tcPr>
          <w:p w14:paraId="790275B0"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Subscriptions/Redemptions &amp; Transfers</w:t>
            </w:r>
          </w:p>
          <w:p w14:paraId="6E69E496"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Accurate receipt of application/redemption instructions from investors in line with fund prospectus</w:t>
            </w:r>
          </w:p>
          <w:p w14:paraId="6F732DE0"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Timely provision of subscription note/contract notes to investors</w:t>
            </w:r>
          </w:p>
          <w:p w14:paraId="30B3CD0F"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Reconciliation of cash transferred to/from the subscription/redemption account to/from the custody/trading accounts on a monthly basis</w:t>
            </w:r>
          </w:p>
          <w:p w14:paraId="7CCE7477"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lastRenderedPageBreak/>
              <w:t>Timely payment of redemption monies in line with local regulatory requirements and fund prospectus</w:t>
            </w:r>
          </w:p>
          <w:p w14:paraId="1756E607"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End Investor Servicing</w:t>
            </w:r>
          </w:p>
          <w:p w14:paraId="7BC36A7D"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Timely provision of investor statements containing holdings, latest NAV per share and market value of holding</w:t>
            </w:r>
          </w:p>
          <w:p w14:paraId="12D93659"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 xml:space="preserve"> Timely responses to investor/manager queries</w:t>
            </w:r>
          </w:p>
          <w:p w14:paraId="3206AE67"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Timely and accurate notification and process of corporate action</w:t>
            </w:r>
          </w:p>
          <w:p w14:paraId="455D767E"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Money laundering – Ensure there are policies and procedures that meet or exceed requirements imposed by the anti-money laundering (AML) regulations set by their local regulator</w:t>
            </w:r>
          </w:p>
          <w:p w14:paraId="2D9787C8"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Application of AML/know-your-customer (KYC) requirements in line with jurisdictional and prospectus requirements</w:t>
            </w:r>
          </w:p>
          <w:p w14:paraId="2940CC7D"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 xml:space="preserve"> Monitoring and reporting of suspicious activity</w:t>
            </w:r>
          </w:p>
          <w:p w14:paraId="35F1A02B"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Regulatory Filings</w:t>
            </w:r>
          </w:p>
          <w:p w14:paraId="119A5369"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Completion and submission of statutory/listing filings as required (in conjunction with Corporate Secretary)</w:t>
            </w:r>
          </w:p>
          <w:p w14:paraId="687EA90D"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Monitoring</w:t>
            </w:r>
          </w:p>
          <w:p w14:paraId="5E28439E" w14:textId="77777777" w:rsidR="008C6915" w:rsidRPr="00FD3F02" w:rsidRDefault="008C6915" w:rsidP="008C6915">
            <w:pPr>
              <w:pStyle w:val="Filestamp"/>
              <w:numPr>
                <w:ilvl w:val="1"/>
                <w:numId w:val="26"/>
              </w:numPr>
              <w:spacing w:after="0" w:line="240" w:lineRule="auto"/>
              <w:ind w:left="601" w:hanging="283"/>
              <w:rPr>
                <w:rFonts w:asciiTheme="minorHAnsi" w:hAnsiTheme="minorHAnsi" w:cs="Times New Roman"/>
                <w:sz w:val="20"/>
                <w:lang w:val="en-GB"/>
              </w:rPr>
            </w:pPr>
            <w:r w:rsidRPr="00FD3F02">
              <w:rPr>
                <w:rFonts w:asciiTheme="minorHAnsi" w:hAnsiTheme="minorHAnsi" w:cs="Times New Roman"/>
                <w:sz w:val="20"/>
                <w:lang w:val="en-GB"/>
              </w:rPr>
              <w:t>Employment retirement income security act (ERISA) and other investor tax requirements</w:t>
            </w:r>
          </w:p>
        </w:tc>
      </w:tr>
      <w:tr w:rsidR="008C6915" w14:paraId="4062FD25" w14:textId="77777777" w:rsidTr="001B14A3">
        <w:tc>
          <w:tcPr>
            <w:tcW w:w="1377" w:type="dxa"/>
          </w:tcPr>
          <w:p w14:paraId="0AB47697" w14:textId="77777777" w:rsidR="008C6915" w:rsidRPr="00FD3F02" w:rsidRDefault="008C6915" w:rsidP="001B14A3">
            <w:pPr>
              <w:pStyle w:val="Filestamp"/>
              <w:rPr>
                <w:rFonts w:asciiTheme="minorHAnsi" w:hAnsiTheme="minorHAnsi" w:cs="Times New Roman"/>
                <w:sz w:val="20"/>
                <w:lang w:val="en-GB"/>
              </w:rPr>
            </w:pPr>
            <w:r w:rsidRPr="00FD3F02">
              <w:rPr>
                <w:rFonts w:asciiTheme="minorHAnsi" w:hAnsiTheme="minorHAnsi" w:cs="Times New Roman"/>
                <w:sz w:val="20"/>
                <w:lang w:val="en-GB"/>
              </w:rPr>
              <w:lastRenderedPageBreak/>
              <w:t>Transaction Processing</w:t>
            </w:r>
          </w:p>
        </w:tc>
        <w:tc>
          <w:tcPr>
            <w:tcW w:w="8338" w:type="dxa"/>
          </w:tcPr>
          <w:p w14:paraId="48363447"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Ability to handle Security and FX trades</w:t>
            </w:r>
          </w:p>
          <w:p w14:paraId="62807530"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Ability to handle corporate actions</w:t>
            </w:r>
          </w:p>
          <w:p w14:paraId="751C93C4"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Definitions of accounting policies for interest and income accruals</w:t>
            </w:r>
          </w:p>
          <w:p w14:paraId="645DC488"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Charges and expenses including performance fees</w:t>
            </w:r>
          </w:p>
          <w:p w14:paraId="7C4978D5"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Subscriptions, redemptions and transfers – trade orders, order confirmation, trade confirmation</w:t>
            </w:r>
          </w:p>
          <w:p w14:paraId="29AD8502"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Cash management – cash balance review, cash movements</w:t>
            </w:r>
          </w:p>
          <w:p w14:paraId="00D45A7F"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Reconciliations – when performed and detail of reconciliation</w:t>
            </w:r>
          </w:p>
          <w:p w14:paraId="6DA07986"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Monthly custodian reporting – reporting contents, for example, settled positions, latest prices, market value</w:t>
            </w:r>
          </w:p>
        </w:tc>
      </w:tr>
      <w:tr w:rsidR="008C6915" w14:paraId="7FCED8E7" w14:textId="77777777" w:rsidTr="001B14A3">
        <w:tc>
          <w:tcPr>
            <w:tcW w:w="1377" w:type="dxa"/>
          </w:tcPr>
          <w:p w14:paraId="30965660" w14:textId="77777777" w:rsidR="008C6915" w:rsidRPr="00FD3F02" w:rsidRDefault="008C6915" w:rsidP="001B14A3">
            <w:pPr>
              <w:pStyle w:val="Filestamp"/>
              <w:rPr>
                <w:rFonts w:asciiTheme="minorHAnsi" w:hAnsiTheme="minorHAnsi" w:cs="Times New Roman"/>
                <w:sz w:val="20"/>
                <w:lang w:val="en-GB"/>
              </w:rPr>
            </w:pPr>
            <w:r w:rsidRPr="00FD3F02">
              <w:rPr>
                <w:rFonts w:asciiTheme="minorHAnsi" w:hAnsiTheme="minorHAnsi" w:cs="Times New Roman"/>
                <w:sz w:val="20"/>
                <w:lang w:val="en-GB"/>
              </w:rPr>
              <w:t>Compliance</w:t>
            </w:r>
          </w:p>
        </w:tc>
        <w:tc>
          <w:tcPr>
            <w:tcW w:w="8338" w:type="dxa"/>
          </w:tcPr>
          <w:p w14:paraId="127C63DD"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Pricing control</w:t>
            </w:r>
          </w:p>
          <w:p w14:paraId="490FD799"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Error and breach reporting</w:t>
            </w:r>
          </w:p>
        </w:tc>
      </w:tr>
      <w:tr w:rsidR="008C6915" w14:paraId="7D502EE5" w14:textId="77777777" w:rsidTr="001B14A3">
        <w:trPr>
          <w:trHeight w:val="550"/>
        </w:trPr>
        <w:tc>
          <w:tcPr>
            <w:tcW w:w="1377" w:type="dxa"/>
          </w:tcPr>
          <w:p w14:paraId="3D640B55" w14:textId="77777777" w:rsidR="008C6915" w:rsidRPr="00FD3F02" w:rsidRDefault="008C6915" w:rsidP="001B14A3">
            <w:pPr>
              <w:pStyle w:val="Filestamp"/>
              <w:rPr>
                <w:rFonts w:asciiTheme="minorHAnsi" w:hAnsiTheme="minorHAnsi" w:cs="Times New Roman"/>
                <w:sz w:val="20"/>
                <w:lang w:val="en-GB"/>
              </w:rPr>
            </w:pPr>
            <w:r w:rsidRPr="00FD3F02">
              <w:rPr>
                <w:rFonts w:asciiTheme="minorHAnsi" w:hAnsiTheme="minorHAnsi" w:cs="Times New Roman"/>
                <w:sz w:val="20"/>
                <w:lang w:val="en-GB"/>
              </w:rPr>
              <w:t>Accounting and Financial</w:t>
            </w:r>
          </w:p>
        </w:tc>
        <w:tc>
          <w:tcPr>
            <w:tcW w:w="8338" w:type="dxa"/>
          </w:tcPr>
          <w:p w14:paraId="421387A2" w14:textId="77777777" w:rsidR="008C6915"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Accounting standards used</w:t>
            </w:r>
          </w:p>
          <w:p w14:paraId="02471DD5"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Filing or accounts</w:t>
            </w:r>
          </w:p>
        </w:tc>
      </w:tr>
      <w:tr w:rsidR="008C6915" w14:paraId="464E0DAB" w14:textId="77777777" w:rsidTr="001B14A3">
        <w:tc>
          <w:tcPr>
            <w:tcW w:w="1377" w:type="dxa"/>
          </w:tcPr>
          <w:p w14:paraId="08240214" w14:textId="77777777" w:rsidR="008C6915" w:rsidRPr="00FD3F02" w:rsidRDefault="008C6915" w:rsidP="001B14A3">
            <w:pPr>
              <w:pStyle w:val="Filestamp"/>
              <w:rPr>
                <w:rFonts w:asciiTheme="minorHAnsi" w:hAnsiTheme="minorHAnsi" w:cs="Times New Roman"/>
                <w:sz w:val="20"/>
                <w:lang w:val="en-GB"/>
              </w:rPr>
            </w:pPr>
            <w:r w:rsidRPr="00FD3F02">
              <w:rPr>
                <w:rFonts w:asciiTheme="minorHAnsi" w:hAnsiTheme="minorHAnsi" w:cs="Times New Roman"/>
                <w:sz w:val="20"/>
                <w:lang w:val="en-GB"/>
              </w:rPr>
              <w:t>Corporate Secetrarial</w:t>
            </w:r>
          </w:p>
        </w:tc>
        <w:tc>
          <w:tcPr>
            <w:tcW w:w="8338" w:type="dxa"/>
          </w:tcPr>
          <w:p w14:paraId="68707F9F"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Maintenance of all statutory books and records</w:t>
            </w:r>
          </w:p>
          <w:p w14:paraId="3EDCE61B"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Provision of registered office facilities</w:t>
            </w:r>
          </w:p>
          <w:p w14:paraId="3B747080"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Organisation of opening of subscription, holding, redemption, brokerage accounts as well as trading and any other bank accounts as required</w:t>
            </w:r>
          </w:p>
          <w:p w14:paraId="7D0CBE68"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Annual Reports and organisation of annual meetings and emergency general meetings</w:t>
            </w:r>
          </w:p>
          <w:p w14:paraId="6CF188CD"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Arrangement execution of legal documents by fund directors</w:t>
            </w:r>
          </w:p>
          <w:p w14:paraId="091A0568" w14:textId="77777777" w:rsidR="008C6915" w:rsidRPr="00FD3F02" w:rsidRDefault="008C6915" w:rsidP="008C6915">
            <w:pPr>
              <w:pStyle w:val="Filestamp"/>
              <w:numPr>
                <w:ilvl w:val="0"/>
                <w:numId w:val="26"/>
              </w:numPr>
              <w:spacing w:after="0" w:line="240" w:lineRule="auto"/>
              <w:ind w:left="261" w:hanging="142"/>
              <w:rPr>
                <w:rFonts w:asciiTheme="minorHAnsi" w:hAnsiTheme="minorHAnsi" w:cs="Times New Roman"/>
                <w:sz w:val="20"/>
                <w:lang w:val="en-GB"/>
              </w:rPr>
            </w:pPr>
            <w:r w:rsidRPr="00FD3F02">
              <w:rPr>
                <w:rFonts w:asciiTheme="minorHAnsi" w:hAnsiTheme="minorHAnsi" w:cs="Times New Roman"/>
                <w:sz w:val="20"/>
                <w:lang w:val="en-GB"/>
              </w:rPr>
              <w:t>Submission of required information to relevant regulatory body</w:t>
            </w:r>
          </w:p>
        </w:tc>
      </w:tr>
    </w:tbl>
    <w:p w14:paraId="35926710" w14:textId="77777777" w:rsidR="008C6915" w:rsidRDefault="008C6915" w:rsidP="008C6915">
      <w:pPr>
        <w:pStyle w:val="Heading2"/>
      </w:pPr>
      <w:r>
        <w:t>Appendix C: Examples of Compliance Procedures Designed to Identify, Detect and Prevent Market Abuse</w:t>
      </w:r>
    </w:p>
    <w:p w14:paraId="4C88ACD3" w14:textId="77777777" w:rsidR="008C6915" w:rsidRDefault="008C6915" w:rsidP="00741426">
      <w:pPr>
        <w:pStyle w:val="Filestamp"/>
        <w:spacing w:after="0"/>
        <w:rPr>
          <w:rFonts w:asciiTheme="minorHAnsi" w:hAnsiTheme="minorHAnsi" w:cs="Times New Roman"/>
          <w:sz w:val="14"/>
          <w:lang w:val="en-GB"/>
        </w:rPr>
      </w:pPr>
    </w:p>
    <w:tbl>
      <w:tblPr>
        <w:tblW w:w="9629" w:type="dxa"/>
        <w:tblLook w:val="04A0" w:firstRow="1" w:lastRow="0" w:firstColumn="1" w:lastColumn="0" w:noHBand="0" w:noVBand="1"/>
      </w:tblPr>
      <w:tblGrid>
        <w:gridCol w:w="1408"/>
        <w:gridCol w:w="8221"/>
      </w:tblGrid>
      <w:tr w:rsidR="008C6915" w:rsidRPr="002A2F78" w14:paraId="75751EBD" w14:textId="77777777" w:rsidTr="001B14A3">
        <w:trPr>
          <w:trHeight w:val="450"/>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325AF697" w14:textId="77777777" w:rsidR="008C6915" w:rsidRPr="002A2F78" w:rsidRDefault="008C6915" w:rsidP="001B14A3">
            <w:pPr>
              <w:pStyle w:val="Filestamp"/>
              <w:rPr>
                <w:rFonts w:asciiTheme="minorHAnsi" w:hAnsiTheme="minorHAnsi" w:cstheme="minorHAnsi"/>
                <w:b/>
                <w:bCs/>
                <w:sz w:val="20"/>
                <w:szCs w:val="20"/>
                <w:lang w:val="en-GB"/>
              </w:rPr>
            </w:pPr>
            <w:r w:rsidRPr="002A2F78">
              <w:rPr>
                <w:rFonts w:asciiTheme="minorHAnsi" w:hAnsiTheme="minorHAnsi" w:cstheme="minorHAnsi"/>
                <w:b/>
                <w:bCs/>
                <w:sz w:val="20"/>
                <w:szCs w:val="20"/>
                <w:lang w:val="en-GB"/>
              </w:rPr>
              <w:t>Abuse</w:t>
            </w:r>
          </w:p>
        </w:tc>
        <w:tc>
          <w:tcPr>
            <w:tcW w:w="8221" w:type="dxa"/>
            <w:tcBorders>
              <w:top w:val="single" w:sz="8" w:space="0" w:color="auto"/>
              <w:left w:val="nil"/>
              <w:bottom w:val="single" w:sz="8" w:space="0" w:color="auto"/>
              <w:right w:val="single" w:sz="8" w:space="0" w:color="auto"/>
            </w:tcBorders>
            <w:shd w:val="clear" w:color="auto" w:fill="auto"/>
            <w:hideMark/>
          </w:tcPr>
          <w:p w14:paraId="66B2D3D2" w14:textId="77777777" w:rsidR="008C6915" w:rsidRPr="002A2F78" w:rsidRDefault="008C6915" w:rsidP="001B14A3">
            <w:pPr>
              <w:pStyle w:val="Filestamp"/>
              <w:rPr>
                <w:rFonts w:asciiTheme="minorHAnsi" w:hAnsiTheme="minorHAnsi" w:cstheme="minorHAnsi"/>
                <w:b/>
                <w:bCs/>
                <w:sz w:val="20"/>
                <w:szCs w:val="20"/>
                <w:lang w:val="en-GB"/>
              </w:rPr>
            </w:pPr>
            <w:r w:rsidRPr="002A2F78">
              <w:rPr>
                <w:rFonts w:asciiTheme="minorHAnsi" w:hAnsiTheme="minorHAnsi" w:cstheme="minorHAnsi"/>
                <w:b/>
                <w:bCs/>
                <w:sz w:val="20"/>
                <w:szCs w:val="20"/>
                <w:lang w:val="en-GB"/>
              </w:rPr>
              <w:t>Procedure</w:t>
            </w:r>
          </w:p>
        </w:tc>
      </w:tr>
      <w:tr w:rsidR="008C6915" w:rsidRPr="002A2F78" w14:paraId="5DF02708" w14:textId="77777777" w:rsidTr="001B14A3">
        <w:trPr>
          <w:trHeight w:val="255"/>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292937BE"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Insider dealing</w:t>
            </w:r>
          </w:p>
        </w:tc>
        <w:tc>
          <w:tcPr>
            <w:tcW w:w="8221" w:type="dxa"/>
            <w:tcBorders>
              <w:top w:val="nil"/>
              <w:left w:val="nil"/>
              <w:bottom w:val="nil"/>
              <w:right w:val="single" w:sz="8" w:space="0" w:color="auto"/>
            </w:tcBorders>
            <w:shd w:val="clear" w:color="auto" w:fill="auto"/>
            <w:hideMark/>
          </w:tcPr>
          <w:p w14:paraId="2D4C29E6"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 xml:space="preserve"> Notification to the compliance officer if an employee believes he/she has received inside information.</w:t>
            </w:r>
          </w:p>
        </w:tc>
      </w:tr>
      <w:tr w:rsidR="008C6915" w:rsidRPr="002A2F78" w14:paraId="437FFA01" w14:textId="77777777" w:rsidTr="001B14A3">
        <w:trPr>
          <w:trHeight w:val="255"/>
        </w:trPr>
        <w:tc>
          <w:tcPr>
            <w:tcW w:w="1408" w:type="dxa"/>
            <w:vMerge/>
            <w:tcBorders>
              <w:top w:val="nil"/>
              <w:left w:val="single" w:sz="8" w:space="0" w:color="auto"/>
              <w:bottom w:val="single" w:sz="8" w:space="0" w:color="000000"/>
              <w:right w:val="single" w:sz="8" w:space="0" w:color="auto"/>
            </w:tcBorders>
            <w:vAlign w:val="center"/>
            <w:hideMark/>
          </w:tcPr>
          <w:p w14:paraId="61164CE0" w14:textId="77777777" w:rsidR="008C6915" w:rsidRPr="00AD7CC4" w:rsidRDefault="008C6915" w:rsidP="001B14A3">
            <w:pPr>
              <w:pStyle w:val="Filestamp"/>
              <w:rPr>
                <w:rFonts w:asciiTheme="minorHAnsi" w:hAnsiTheme="minorHAnsi" w:cstheme="minorHAnsi"/>
                <w:sz w:val="20"/>
                <w:szCs w:val="20"/>
                <w:lang w:val="en-GB"/>
              </w:rPr>
            </w:pPr>
          </w:p>
        </w:tc>
        <w:tc>
          <w:tcPr>
            <w:tcW w:w="8221" w:type="dxa"/>
            <w:tcBorders>
              <w:top w:val="nil"/>
              <w:left w:val="nil"/>
              <w:bottom w:val="nil"/>
              <w:right w:val="single" w:sz="8" w:space="0" w:color="auto"/>
            </w:tcBorders>
            <w:shd w:val="clear" w:color="auto" w:fill="auto"/>
            <w:hideMark/>
          </w:tcPr>
          <w:p w14:paraId="2F900797" w14:textId="77777777" w:rsidR="008C6915" w:rsidRPr="00AD7CC4" w:rsidRDefault="008C6915" w:rsidP="001B14A3">
            <w:pPr>
              <w:pStyle w:val="Filestamp"/>
              <w:rPr>
                <w:rFonts w:asciiTheme="minorHAnsi" w:hAnsiTheme="minorHAnsi" w:cstheme="minorHAnsi"/>
                <w:sz w:val="20"/>
                <w:szCs w:val="20"/>
                <w:lang w:val="en-GB"/>
              </w:rPr>
            </w:pPr>
            <w:r w:rsidRPr="00AD7CC4">
              <w:rPr>
                <w:rFonts w:asciiTheme="minorHAnsi" w:hAnsiTheme="minorHAnsi" w:cstheme="minorHAnsi"/>
                <w:sz w:val="20"/>
                <w:szCs w:val="20"/>
                <w:lang w:val="en-GB"/>
              </w:rPr>
              <w:t>Compliance officer to determine whether information is material and non-public.</w:t>
            </w:r>
          </w:p>
        </w:tc>
      </w:tr>
      <w:tr w:rsidR="008C6915" w:rsidRPr="002A2F78" w14:paraId="33558872" w14:textId="77777777" w:rsidTr="001B14A3">
        <w:trPr>
          <w:trHeight w:val="1020"/>
        </w:trPr>
        <w:tc>
          <w:tcPr>
            <w:tcW w:w="1408" w:type="dxa"/>
            <w:vMerge/>
            <w:tcBorders>
              <w:top w:val="nil"/>
              <w:left w:val="single" w:sz="8" w:space="0" w:color="auto"/>
              <w:bottom w:val="single" w:sz="8" w:space="0" w:color="000000"/>
              <w:right w:val="single" w:sz="8" w:space="0" w:color="auto"/>
            </w:tcBorders>
            <w:vAlign w:val="center"/>
            <w:hideMark/>
          </w:tcPr>
          <w:p w14:paraId="1FA6E383" w14:textId="77777777" w:rsidR="008C6915" w:rsidRPr="00AD7CC4" w:rsidRDefault="008C6915" w:rsidP="001B14A3">
            <w:pPr>
              <w:pStyle w:val="Filestamp"/>
              <w:rPr>
                <w:rFonts w:asciiTheme="minorHAnsi" w:hAnsiTheme="minorHAnsi" w:cstheme="minorHAnsi"/>
                <w:sz w:val="20"/>
                <w:szCs w:val="20"/>
                <w:lang w:val="en-GB"/>
              </w:rPr>
            </w:pPr>
          </w:p>
        </w:tc>
        <w:tc>
          <w:tcPr>
            <w:tcW w:w="8221" w:type="dxa"/>
            <w:tcBorders>
              <w:top w:val="nil"/>
              <w:left w:val="nil"/>
              <w:bottom w:val="nil"/>
              <w:right w:val="single" w:sz="8" w:space="0" w:color="auto"/>
            </w:tcBorders>
            <w:shd w:val="clear" w:color="auto" w:fill="auto"/>
            <w:hideMark/>
          </w:tcPr>
          <w:p w14:paraId="6072E8B0" w14:textId="77777777" w:rsidR="008C6915" w:rsidRPr="00AD7CC4" w:rsidRDefault="008C6915" w:rsidP="001B14A3">
            <w:pPr>
              <w:pStyle w:val="Filestamp"/>
              <w:rPr>
                <w:rFonts w:asciiTheme="minorHAnsi" w:hAnsiTheme="minorHAnsi" w:cstheme="minorHAnsi"/>
                <w:sz w:val="20"/>
                <w:szCs w:val="20"/>
                <w:lang w:val="en-GB"/>
              </w:rPr>
            </w:pPr>
            <w:r w:rsidRPr="00AD7CC4">
              <w:rPr>
                <w:rFonts w:asciiTheme="minorHAnsi" w:hAnsiTheme="minorHAnsi" w:cstheme="minorHAnsi"/>
                <w:sz w:val="20"/>
                <w:szCs w:val="20"/>
                <w:lang w:val="en-GB"/>
              </w:rPr>
              <w:t xml:space="preserve">If information is material and non-public, the securities of the issuer concerned should  be placed on the restricted list (in which case such stocks cannot be traded) or on a grey list (non-disclosed </w:t>
            </w:r>
            <w:r w:rsidRPr="00AD7CC4">
              <w:rPr>
                <w:rFonts w:asciiTheme="minorHAnsi" w:hAnsiTheme="minorHAnsi" w:cstheme="minorHAnsi"/>
                <w:sz w:val="20"/>
                <w:szCs w:val="20"/>
                <w:lang w:val="en-GB"/>
              </w:rPr>
              <w:lastRenderedPageBreak/>
              <w:t>restricted list, which prevents such information from being shared with the entire firm such that it might allow personnel to second guess why something was restricted).</w:t>
            </w:r>
          </w:p>
        </w:tc>
      </w:tr>
      <w:tr w:rsidR="008C6915" w:rsidRPr="002A2F78" w14:paraId="14C91EB0" w14:textId="77777777" w:rsidTr="001B14A3">
        <w:trPr>
          <w:trHeight w:val="510"/>
        </w:trPr>
        <w:tc>
          <w:tcPr>
            <w:tcW w:w="1408" w:type="dxa"/>
            <w:vMerge/>
            <w:tcBorders>
              <w:top w:val="nil"/>
              <w:left w:val="single" w:sz="8" w:space="0" w:color="auto"/>
              <w:bottom w:val="single" w:sz="8" w:space="0" w:color="000000"/>
              <w:right w:val="single" w:sz="8" w:space="0" w:color="auto"/>
            </w:tcBorders>
            <w:vAlign w:val="center"/>
            <w:hideMark/>
          </w:tcPr>
          <w:p w14:paraId="73605574" w14:textId="77777777" w:rsidR="008C6915" w:rsidRPr="00AD7CC4" w:rsidRDefault="008C6915" w:rsidP="001B14A3">
            <w:pPr>
              <w:pStyle w:val="Filestamp"/>
              <w:rPr>
                <w:rFonts w:asciiTheme="minorHAnsi" w:hAnsiTheme="minorHAnsi" w:cstheme="minorHAnsi"/>
                <w:sz w:val="20"/>
                <w:szCs w:val="20"/>
                <w:lang w:val="en-GB"/>
              </w:rPr>
            </w:pPr>
          </w:p>
        </w:tc>
        <w:tc>
          <w:tcPr>
            <w:tcW w:w="8221" w:type="dxa"/>
            <w:tcBorders>
              <w:top w:val="nil"/>
              <w:left w:val="nil"/>
              <w:bottom w:val="nil"/>
              <w:right w:val="single" w:sz="8" w:space="0" w:color="auto"/>
            </w:tcBorders>
            <w:shd w:val="clear" w:color="auto" w:fill="auto"/>
            <w:hideMark/>
          </w:tcPr>
          <w:p w14:paraId="51BB2D63" w14:textId="77777777" w:rsidR="008C6915" w:rsidRPr="00AD7CC4" w:rsidRDefault="008C6915" w:rsidP="001B14A3">
            <w:pPr>
              <w:pStyle w:val="Filestamp"/>
              <w:rPr>
                <w:rFonts w:asciiTheme="minorHAnsi" w:hAnsiTheme="minorHAnsi" w:cstheme="minorHAnsi"/>
                <w:sz w:val="20"/>
                <w:szCs w:val="20"/>
                <w:lang w:val="en-GB"/>
              </w:rPr>
            </w:pPr>
            <w:r w:rsidRPr="00AD7CC4">
              <w:rPr>
                <w:rFonts w:asciiTheme="minorHAnsi" w:hAnsiTheme="minorHAnsi" w:cstheme="minorHAnsi"/>
                <w:sz w:val="20"/>
                <w:szCs w:val="20"/>
                <w:lang w:val="en-GB"/>
              </w:rPr>
              <w:t>Securities (shares, bonds, etc) of companies on the restricted list in which the entire firm would be excluded from dealing (e.g. restricted in the order management system).</w:t>
            </w:r>
          </w:p>
        </w:tc>
      </w:tr>
      <w:tr w:rsidR="008C6915" w:rsidRPr="002A2F78" w14:paraId="79D0D2D5" w14:textId="77777777" w:rsidTr="001B14A3">
        <w:trPr>
          <w:trHeight w:val="765"/>
        </w:trPr>
        <w:tc>
          <w:tcPr>
            <w:tcW w:w="1408" w:type="dxa"/>
            <w:vMerge/>
            <w:tcBorders>
              <w:top w:val="nil"/>
              <w:left w:val="single" w:sz="8" w:space="0" w:color="auto"/>
              <w:bottom w:val="single" w:sz="8" w:space="0" w:color="000000"/>
              <w:right w:val="single" w:sz="8" w:space="0" w:color="auto"/>
            </w:tcBorders>
            <w:vAlign w:val="center"/>
            <w:hideMark/>
          </w:tcPr>
          <w:p w14:paraId="02AAF2C0" w14:textId="77777777" w:rsidR="008C6915" w:rsidRPr="00AD7CC4" w:rsidRDefault="008C6915" w:rsidP="001B14A3">
            <w:pPr>
              <w:pStyle w:val="Filestamp"/>
              <w:rPr>
                <w:rFonts w:asciiTheme="minorHAnsi" w:hAnsiTheme="minorHAnsi" w:cstheme="minorHAnsi"/>
                <w:sz w:val="20"/>
                <w:szCs w:val="20"/>
                <w:lang w:val="en-GB"/>
              </w:rPr>
            </w:pPr>
          </w:p>
        </w:tc>
        <w:tc>
          <w:tcPr>
            <w:tcW w:w="8221" w:type="dxa"/>
            <w:tcBorders>
              <w:top w:val="nil"/>
              <w:left w:val="nil"/>
              <w:bottom w:val="nil"/>
              <w:right w:val="single" w:sz="8" w:space="0" w:color="auto"/>
            </w:tcBorders>
            <w:shd w:val="clear" w:color="auto" w:fill="auto"/>
            <w:hideMark/>
          </w:tcPr>
          <w:p w14:paraId="732F54B0" w14:textId="77777777" w:rsidR="008C6915" w:rsidRPr="00AD7CC4" w:rsidRDefault="008C6915" w:rsidP="001B14A3">
            <w:pPr>
              <w:pStyle w:val="Filestamp"/>
              <w:rPr>
                <w:rFonts w:asciiTheme="minorHAnsi" w:hAnsiTheme="minorHAnsi" w:cstheme="minorHAnsi"/>
                <w:sz w:val="20"/>
                <w:szCs w:val="20"/>
                <w:lang w:val="en-GB"/>
              </w:rPr>
            </w:pPr>
            <w:r w:rsidRPr="00AD7CC4">
              <w:rPr>
                <w:rFonts w:asciiTheme="minorHAnsi" w:hAnsiTheme="minorHAnsi" w:cstheme="minorHAnsi"/>
                <w:sz w:val="20"/>
                <w:szCs w:val="20"/>
                <w:lang w:val="en-GB"/>
              </w:rPr>
              <w:t>Where practicable, use of Chinese walls to prevent, for example, individual portfolio managers who are members of a creditors’ committee of a distressed or bankrupt company (and who therefore have access to confidential information) from also trading such company’s debt or equity.</w:t>
            </w:r>
          </w:p>
        </w:tc>
      </w:tr>
      <w:tr w:rsidR="008C6915" w:rsidRPr="002A2F78" w14:paraId="5607B7A8" w14:textId="77777777" w:rsidTr="001B14A3">
        <w:trPr>
          <w:trHeight w:val="1170"/>
        </w:trPr>
        <w:tc>
          <w:tcPr>
            <w:tcW w:w="1408" w:type="dxa"/>
            <w:vMerge/>
            <w:tcBorders>
              <w:top w:val="nil"/>
              <w:left w:val="single" w:sz="8" w:space="0" w:color="auto"/>
              <w:bottom w:val="single" w:sz="8" w:space="0" w:color="000000"/>
              <w:right w:val="single" w:sz="8" w:space="0" w:color="auto"/>
            </w:tcBorders>
            <w:vAlign w:val="center"/>
            <w:hideMark/>
          </w:tcPr>
          <w:p w14:paraId="5B351FB3" w14:textId="77777777" w:rsidR="008C6915" w:rsidRPr="00AD7CC4" w:rsidRDefault="008C6915" w:rsidP="001B14A3">
            <w:pPr>
              <w:pStyle w:val="Filestamp"/>
              <w:rPr>
                <w:rFonts w:cs="Times New Roman"/>
                <w:sz w:val="20"/>
                <w:szCs w:val="20"/>
                <w:lang w:val="en-GB"/>
              </w:rPr>
            </w:pPr>
          </w:p>
        </w:tc>
        <w:tc>
          <w:tcPr>
            <w:tcW w:w="8221" w:type="dxa"/>
            <w:tcBorders>
              <w:top w:val="nil"/>
              <w:left w:val="nil"/>
              <w:bottom w:val="single" w:sz="8" w:space="0" w:color="auto"/>
              <w:right w:val="single" w:sz="8" w:space="0" w:color="auto"/>
            </w:tcBorders>
            <w:shd w:val="clear" w:color="auto" w:fill="auto"/>
            <w:hideMark/>
          </w:tcPr>
          <w:p w14:paraId="200E0CA4"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In instances where inside information is known to employees who have no active involvement in the investment management function, documentation of details of this knowledge should be placed on a separate (non-publicised) register.</w:t>
            </w:r>
          </w:p>
        </w:tc>
      </w:tr>
      <w:tr w:rsidR="008C6915" w:rsidRPr="002A2F78" w14:paraId="133A82A3" w14:textId="77777777" w:rsidTr="001B14A3">
        <w:trPr>
          <w:trHeight w:val="780"/>
        </w:trPr>
        <w:tc>
          <w:tcPr>
            <w:tcW w:w="1408" w:type="dxa"/>
            <w:tcBorders>
              <w:top w:val="nil"/>
              <w:left w:val="single" w:sz="8" w:space="0" w:color="auto"/>
              <w:bottom w:val="single" w:sz="8" w:space="0" w:color="auto"/>
              <w:right w:val="single" w:sz="8" w:space="0" w:color="auto"/>
            </w:tcBorders>
            <w:shd w:val="clear" w:color="auto" w:fill="auto"/>
            <w:hideMark/>
          </w:tcPr>
          <w:p w14:paraId="011D9E33"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Dissemination of inside information</w:t>
            </w:r>
          </w:p>
        </w:tc>
        <w:tc>
          <w:tcPr>
            <w:tcW w:w="8221" w:type="dxa"/>
            <w:tcBorders>
              <w:top w:val="nil"/>
              <w:left w:val="nil"/>
              <w:bottom w:val="single" w:sz="8" w:space="0" w:color="auto"/>
              <w:right w:val="single" w:sz="8" w:space="0" w:color="auto"/>
            </w:tcBorders>
            <w:shd w:val="clear" w:color="auto" w:fill="auto"/>
            <w:hideMark/>
          </w:tcPr>
          <w:p w14:paraId="684AA8CC"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Managers should have policies to restrict dissemination of material non-public information including, for example, the manager’s own intention actively to engage with a company (e.g. by advocating/suggesting a corporate restructuring).</w:t>
            </w:r>
          </w:p>
        </w:tc>
      </w:tr>
      <w:tr w:rsidR="008C6915" w:rsidRPr="002A2F78" w14:paraId="44B3085C" w14:textId="77777777" w:rsidTr="001B14A3">
        <w:trPr>
          <w:trHeight w:val="510"/>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46B27511"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Non-disclosure of shareholdings when disclosure thresholds have been exceeded</w:t>
            </w:r>
          </w:p>
        </w:tc>
        <w:tc>
          <w:tcPr>
            <w:tcW w:w="8221" w:type="dxa"/>
            <w:tcBorders>
              <w:top w:val="nil"/>
              <w:left w:val="nil"/>
              <w:bottom w:val="nil"/>
              <w:right w:val="single" w:sz="8" w:space="0" w:color="auto"/>
            </w:tcBorders>
            <w:shd w:val="clear" w:color="auto" w:fill="auto"/>
            <w:hideMark/>
          </w:tcPr>
          <w:p w14:paraId="4741DC73"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Managers should document arrangements with other parties (e.g. other managers) together with which it has adopted a “lasting common policy towards the management of the issuer in question”.</w:t>
            </w:r>
          </w:p>
        </w:tc>
      </w:tr>
      <w:tr w:rsidR="008C6915" w:rsidRPr="002A2F78" w14:paraId="6CFDE5EF" w14:textId="77777777" w:rsidTr="001B14A3">
        <w:trPr>
          <w:trHeight w:val="705"/>
        </w:trPr>
        <w:tc>
          <w:tcPr>
            <w:tcW w:w="1408" w:type="dxa"/>
            <w:vMerge/>
            <w:tcBorders>
              <w:top w:val="nil"/>
              <w:left w:val="single" w:sz="8" w:space="0" w:color="auto"/>
              <w:bottom w:val="single" w:sz="8" w:space="0" w:color="000000"/>
              <w:right w:val="single" w:sz="8" w:space="0" w:color="auto"/>
            </w:tcBorders>
            <w:vAlign w:val="center"/>
            <w:hideMark/>
          </w:tcPr>
          <w:p w14:paraId="2354906F" w14:textId="77777777" w:rsidR="008C6915" w:rsidRPr="00AD7CC4" w:rsidRDefault="008C6915" w:rsidP="001B14A3">
            <w:pPr>
              <w:pStyle w:val="Filestamp"/>
              <w:rPr>
                <w:rFonts w:asciiTheme="minorHAnsi" w:hAnsiTheme="minorHAnsi" w:cstheme="minorHAnsi"/>
                <w:sz w:val="20"/>
                <w:szCs w:val="20"/>
                <w:lang w:val="en-GB"/>
              </w:rPr>
            </w:pPr>
          </w:p>
        </w:tc>
        <w:tc>
          <w:tcPr>
            <w:tcW w:w="8221" w:type="dxa"/>
            <w:tcBorders>
              <w:top w:val="nil"/>
              <w:left w:val="nil"/>
              <w:bottom w:val="single" w:sz="8" w:space="0" w:color="auto"/>
              <w:right w:val="single" w:sz="8" w:space="0" w:color="auto"/>
            </w:tcBorders>
            <w:shd w:val="clear" w:color="auto" w:fill="auto"/>
            <w:hideMark/>
          </w:tcPr>
          <w:p w14:paraId="7E35B216" w14:textId="77777777" w:rsidR="008C6915" w:rsidRPr="00AD7CC4" w:rsidRDefault="008C6915" w:rsidP="001B14A3">
            <w:pPr>
              <w:pStyle w:val="Filestamp"/>
              <w:rPr>
                <w:rFonts w:asciiTheme="minorHAnsi" w:hAnsiTheme="minorHAnsi" w:cstheme="minorHAnsi"/>
                <w:sz w:val="20"/>
                <w:szCs w:val="20"/>
                <w:lang w:val="en-GB"/>
              </w:rPr>
            </w:pPr>
            <w:r w:rsidRPr="00AD7CC4">
              <w:rPr>
                <w:rFonts w:asciiTheme="minorHAnsi" w:hAnsiTheme="minorHAnsi" w:cstheme="minorHAnsi"/>
                <w:sz w:val="20"/>
                <w:szCs w:val="20"/>
                <w:lang w:val="en-GB"/>
              </w:rPr>
              <w:t>Relevant disclosures should take place if disclosure thresholds are exceeded, accounting for collective share ownership of all parties involved.</w:t>
            </w:r>
          </w:p>
        </w:tc>
      </w:tr>
      <w:tr w:rsidR="008C6915" w:rsidRPr="002A2F78" w14:paraId="338FD23B" w14:textId="77777777" w:rsidTr="001B14A3">
        <w:trPr>
          <w:trHeight w:val="525"/>
        </w:trPr>
        <w:tc>
          <w:tcPr>
            <w:tcW w:w="1408" w:type="dxa"/>
            <w:tcBorders>
              <w:top w:val="nil"/>
              <w:left w:val="single" w:sz="8" w:space="0" w:color="auto"/>
              <w:bottom w:val="single" w:sz="8" w:space="0" w:color="auto"/>
              <w:right w:val="single" w:sz="8" w:space="0" w:color="auto"/>
            </w:tcBorders>
            <w:shd w:val="clear" w:color="auto" w:fill="auto"/>
            <w:hideMark/>
          </w:tcPr>
          <w:p w14:paraId="636AEA0C"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Prevention of market manipulation</w:t>
            </w:r>
          </w:p>
        </w:tc>
        <w:tc>
          <w:tcPr>
            <w:tcW w:w="8221" w:type="dxa"/>
            <w:tcBorders>
              <w:top w:val="nil"/>
              <w:left w:val="nil"/>
              <w:bottom w:val="single" w:sz="8" w:space="0" w:color="auto"/>
              <w:right w:val="single" w:sz="8" w:space="0" w:color="auto"/>
            </w:tcBorders>
            <w:shd w:val="clear" w:color="auto" w:fill="auto"/>
            <w:hideMark/>
          </w:tcPr>
          <w:p w14:paraId="17A1C1AD"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Public relations policies regarding public statements of intent to seek to ensure that no false or misleading impressions are given to the market.</w:t>
            </w:r>
          </w:p>
        </w:tc>
      </w:tr>
    </w:tbl>
    <w:p w14:paraId="7F20E189" w14:textId="77777777" w:rsidR="008C6915" w:rsidRPr="006556E7" w:rsidRDefault="008C6915" w:rsidP="00741426">
      <w:pPr>
        <w:pStyle w:val="Heading2"/>
      </w:pPr>
      <w:r>
        <w:t>Appendix D: Examples of Non-Binding Guidance to Determine “Similarity”</w:t>
      </w:r>
    </w:p>
    <w:p w14:paraId="2B792ECB" w14:textId="77777777" w:rsidR="008C6915" w:rsidRDefault="008C6915" w:rsidP="008C6915">
      <w:pPr>
        <w:pStyle w:val="Filestamp"/>
        <w:rPr>
          <w:rFonts w:asciiTheme="minorHAnsi" w:hAnsiTheme="minorHAnsi" w:cs="Times New Roman"/>
          <w:sz w:val="14"/>
          <w:lang w:val="en-GB"/>
        </w:rPr>
      </w:pPr>
    </w:p>
    <w:tbl>
      <w:tblPr>
        <w:tblW w:w="9629" w:type="dxa"/>
        <w:tblLook w:val="04A0" w:firstRow="1" w:lastRow="0" w:firstColumn="1" w:lastColumn="0" w:noHBand="0" w:noVBand="1"/>
      </w:tblPr>
      <w:tblGrid>
        <w:gridCol w:w="983"/>
        <w:gridCol w:w="8646"/>
      </w:tblGrid>
      <w:tr w:rsidR="008C6915" w:rsidRPr="002A2F78" w14:paraId="10B2CA57" w14:textId="77777777" w:rsidTr="001B14A3">
        <w:trPr>
          <w:trHeight w:val="525"/>
        </w:trPr>
        <w:tc>
          <w:tcPr>
            <w:tcW w:w="983" w:type="dxa"/>
            <w:tcBorders>
              <w:top w:val="single" w:sz="8" w:space="0" w:color="auto"/>
              <w:left w:val="single" w:sz="8" w:space="0" w:color="auto"/>
              <w:bottom w:val="single" w:sz="8" w:space="0" w:color="auto"/>
              <w:right w:val="single" w:sz="8" w:space="0" w:color="auto"/>
            </w:tcBorders>
            <w:shd w:val="clear" w:color="auto" w:fill="auto"/>
            <w:hideMark/>
          </w:tcPr>
          <w:p w14:paraId="6304FC7C"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1)</w:t>
            </w:r>
          </w:p>
        </w:tc>
        <w:tc>
          <w:tcPr>
            <w:tcW w:w="8646" w:type="dxa"/>
            <w:tcBorders>
              <w:top w:val="single" w:sz="8" w:space="0" w:color="auto"/>
              <w:left w:val="nil"/>
              <w:bottom w:val="single" w:sz="8" w:space="0" w:color="auto"/>
              <w:right w:val="single" w:sz="8" w:space="0" w:color="auto"/>
            </w:tcBorders>
            <w:shd w:val="clear" w:color="auto" w:fill="auto"/>
            <w:vAlign w:val="center"/>
            <w:hideMark/>
          </w:tcPr>
          <w:p w14:paraId="5156F99D"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The Portfolio Manager or investment team, the investment mandate (i.e., equity, fixed income, macro) and the strategy or style (i.e., market neutral, relative value, trend following) will all need to be the same.</w:t>
            </w:r>
          </w:p>
        </w:tc>
      </w:tr>
      <w:tr w:rsidR="008C6915" w:rsidRPr="002A2F78" w14:paraId="2C7A29C0" w14:textId="77777777" w:rsidTr="001B14A3">
        <w:trPr>
          <w:trHeight w:val="3255"/>
        </w:trPr>
        <w:tc>
          <w:tcPr>
            <w:tcW w:w="983" w:type="dxa"/>
            <w:tcBorders>
              <w:top w:val="nil"/>
              <w:left w:val="single" w:sz="8" w:space="0" w:color="auto"/>
              <w:bottom w:val="single" w:sz="8" w:space="0" w:color="auto"/>
              <w:right w:val="single" w:sz="8" w:space="0" w:color="auto"/>
            </w:tcBorders>
            <w:shd w:val="clear" w:color="auto" w:fill="auto"/>
            <w:hideMark/>
          </w:tcPr>
          <w:p w14:paraId="360917F7"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lastRenderedPageBreak/>
              <w:t>2)</w:t>
            </w:r>
          </w:p>
        </w:tc>
        <w:tc>
          <w:tcPr>
            <w:tcW w:w="8646" w:type="dxa"/>
            <w:tcBorders>
              <w:top w:val="nil"/>
              <w:left w:val="nil"/>
              <w:bottom w:val="single" w:sz="8" w:space="0" w:color="auto"/>
              <w:right w:val="single" w:sz="8" w:space="0" w:color="auto"/>
            </w:tcBorders>
            <w:shd w:val="clear" w:color="auto" w:fill="auto"/>
            <w:hideMark/>
          </w:tcPr>
          <w:p w14:paraId="15E92697"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Additionally, the “similar” fund or separately managed account will have to have an 80%  overlap in the following 4 areas (an example follows each item):</w:t>
            </w:r>
            <w:r w:rsidRPr="002A2F78">
              <w:rPr>
                <w:rFonts w:asciiTheme="minorHAnsi" w:hAnsiTheme="minorHAnsi" w:cstheme="minorHAnsi"/>
                <w:sz w:val="20"/>
                <w:szCs w:val="20"/>
                <w:lang w:val="en-GB"/>
              </w:rPr>
              <w:br/>
            </w:r>
            <w:r w:rsidRPr="002A2F78">
              <w:rPr>
                <w:rFonts w:asciiTheme="minorHAnsi" w:hAnsiTheme="minorHAnsi" w:cstheme="minorHAnsi"/>
                <w:sz w:val="20"/>
                <w:szCs w:val="20"/>
                <w:lang w:val="en-GB"/>
              </w:rPr>
              <w:br/>
              <w:t xml:space="preserve">a) </w:t>
            </w:r>
            <w:r w:rsidRPr="002A2F78">
              <w:rPr>
                <w:rFonts w:asciiTheme="minorHAnsi" w:hAnsiTheme="minorHAnsi" w:cstheme="minorHAnsi"/>
                <w:b/>
                <w:bCs/>
                <w:sz w:val="20"/>
                <w:szCs w:val="20"/>
                <w:lang w:val="en-GB"/>
              </w:rPr>
              <w:t>Asset classes traded</w:t>
            </w:r>
            <w:r w:rsidRPr="002A2F78">
              <w:rPr>
                <w:rFonts w:asciiTheme="minorHAnsi" w:hAnsiTheme="minorHAnsi" w:cstheme="minorHAnsi"/>
                <w:sz w:val="20"/>
                <w:szCs w:val="20"/>
                <w:lang w:val="en-GB"/>
              </w:rPr>
              <w:t xml:space="preserve"> (i.e., mortgages, equity, credit, FX) - If the fund is 100% equities, then other funds/sleeves must have at least 80% in equities to be classified as similar.</w:t>
            </w:r>
            <w:r w:rsidRPr="002A2F78">
              <w:rPr>
                <w:rFonts w:asciiTheme="minorHAnsi" w:hAnsiTheme="minorHAnsi" w:cstheme="minorHAnsi"/>
                <w:sz w:val="20"/>
                <w:szCs w:val="20"/>
                <w:lang w:val="en-GB"/>
              </w:rPr>
              <w:br/>
              <w:t xml:space="preserve">b) </w:t>
            </w:r>
            <w:r w:rsidRPr="002A2F78">
              <w:rPr>
                <w:rFonts w:asciiTheme="minorHAnsi" w:hAnsiTheme="minorHAnsi" w:cstheme="minorHAnsi"/>
                <w:b/>
                <w:bCs/>
                <w:sz w:val="20"/>
                <w:szCs w:val="20"/>
                <w:lang w:val="en-GB"/>
              </w:rPr>
              <w:t>Target risk and return</w:t>
            </w:r>
            <w:r w:rsidRPr="002A2F78">
              <w:rPr>
                <w:rFonts w:asciiTheme="minorHAnsi" w:hAnsiTheme="minorHAnsi" w:cstheme="minorHAnsi"/>
                <w:sz w:val="20"/>
                <w:szCs w:val="20"/>
                <w:lang w:val="en-GB"/>
              </w:rPr>
              <w:t xml:space="preserve"> - Funds must have similar risk-return targets (measured by Sharpe or Information Ratio) to be classified as similar. Thus, if the fund targets a Sharpe ratio of 1, then “similar” funds must target a Sharpe between 0.8 and 1.2 (+/-20% band). </w:t>
            </w:r>
            <w:r w:rsidRPr="002A2F78">
              <w:rPr>
                <w:rFonts w:asciiTheme="minorHAnsi" w:hAnsiTheme="minorHAnsi" w:cstheme="minorHAnsi"/>
                <w:sz w:val="20"/>
                <w:szCs w:val="20"/>
                <w:lang w:val="en-GB"/>
              </w:rPr>
              <w:br/>
              <w:t xml:space="preserve">c) </w:t>
            </w:r>
            <w:r w:rsidRPr="002A2F78">
              <w:rPr>
                <w:rFonts w:asciiTheme="minorHAnsi" w:hAnsiTheme="minorHAnsi" w:cstheme="minorHAnsi"/>
                <w:b/>
                <w:bCs/>
                <w:sz w:val="20"/>
                <w:szCs w:val="20"/>
                <w:lang w:val="en-GB"/>
              </w:rPr>
              <w:t>Time horizon of positions</w:t>
            </w:r>
            <w:r w:rsidRPr="002A2F78">
              <w:rPr>
                <w:rFonts w:asciiTheme="minorHAnsi" w:hAnsiTheme="minorHAnsi" w:cstheme="minorHAnsi"/>
                <w:sz w:val="20"/>
                <w:szCs w:val="20"/>
                <w:lang w:val="en-GB"/>
              </w:rPr>
              <w:t xml:space="preserve"> - If the average holding period for the fund is 3 months, then the holding period for the similar fund needs to be between 2.4 to 3.6 months (+/- 20% band).</w:t>
            </w:r>
            <w:r w:rsidRPr="002A2F78">
              <w:rPr>
                <w:rFonts w:asciiTheme="minorHAnsi" w:hAnsiTheme="minorHAnsi" w:cstheme="minorHAnsi"/>
                <w:sz w:val="20"/>
                <w:szCs w:val="20"/>
                <w:lang w:val="en-GB"/>
              </w:rPr>
              <w:br/>
              <w:t xml:space="preserve">d) </w:t>
            </w:r>
            <w:r w:rsidRPr="002A2F78">
              <w:rPr>
                <w:rFonts w:asciiTheme="minorHAnsi" w:hAnsiTheme="minorHAnsi" w:cstheme="minorHAnsi"/>
                <w:b/>
                <w:bCs/>
                <w:sz w:val="20"/>
                <w:szCs w:val="20"/>
                <w:lang w:val="en-GB"/>
              </w:rPr>
              <w:t>Average liquidity of positions</w:t>
            </w:r>
            <w:r w:rsidRPr="002A2F78">
              <w:rPr>
                <w:rFonts w:asciiTheme="minorHAnsi" w:hAnsiTheme="minorHAnsi" w:cstheme="minorHAnsi"/>
                <w:sz w:val="20"/>
                <w:szCs w:val="20"/>
                <w:lang w:val="en-GB"/>
              </w:rPr>
              <w:t xml:space="preserve"> - If the average liquidity profile of the fund is 10 days, then the similar fund needs to have an average liquidity profile between 8 to 12 days to be classified as similar (+/- 20% band).</w:t>
            </w:r>
          </w:p>
        </w:tc>
      </w:tr>
      <w:tr w:rsidR="008C6915" w:rsidRPr="002A2F78" w14:paraId="2DF45356" w14:textId="77777777" w:rsidTr="001B14A3">
        <w:trPr>
          <w:trHeight w:val="945"/>
        </w:trPr>
        <w:tc>
          <w:tcPr>
            <w:tcW w:w="983" w:type="dxa"/>
            <w:tcBorders>
              <w:top w:val="nil"/>
              <w:left w:val="single" w:sz="8" w:space="0" w:color="auto"/>
              <w:bottom w:val="single" w:sz="8" w:space="0" w:color="auto"/>
              <w:right w:val="single" w:sz="8" w:space="0" w:color="auto"/>
            </w:tcBorders>
            <w:shd w:val="clear" w:color="auto" w:fill="auto"/>
            <w:hideMark/>
          </w:tcPr>
          <w:p w14:paraId="65A07BBF"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3)</w:t>
            </w:r>
          </w:p>
        </w:tc>
        <w:tc>
          <w:tcPr>
            <w:tcW w:w="8646" w:type="dxa"/>
            <w:tcBorders>
              <w:top w:val="nil"/>
              <w:left w:val="nil"/>
              <w:bottom w:val="single" w:sz="8" w:space="0" w:color="auto"/>
              <w:right w:val="single" w:sz="8" w:space="0" w:color="auto"/>
            </w:tcBorders>
            <w:shd w:val="clear" w:color="auto" w:fill="auto"/>
            <w:hideMark/>
          </w:tcPr>
          <w:p w14:paraId="58B835C9" w14:textId="77777777" w:rsidR="008C6915" w:rsidRPr="002A2F78" w:rsidRDefault="008C6915" w:rsidP="001B14A3">
            <w:pPr>
              <w:pStyle w:val="Filestamp"/>
              <w:rPr>
                <w:rFonts w:asciiTheme="minorHAnsi" w:hAnsiTheme="minorHAnsi" w:cstheme="minorHAnsi"/>
                <w:sz w:val="20"/>
                <w:szCs w:val="20"/>
                <w:lang w:val="en-GB"/>
              </w:rPr>
            </w:pPr>
            <w:r w:rsidRPr="002A2F78">
              <w:rPr>
                <w:rFonts w:asciiTheme="minorHAnsi" w:hAnsiTheme="minorHAnsi" w:cstheme="minorHAnsi"/>
                <w:sz w:val="20"/>
                <w:szCs w:val="20"/>
                <w:lang w:val="en-GB"/>
              </w:rPr>
              <w:t>A multi-strategy fund would have to have 80% overlap of allocations among sub-strategies, and the sub-strategies would have to be substantially similar (80%), as in item 2 above.</w:t>
            </w:r>
          </w:p>
        </w:tc>
      </w:tr>
    </w:tbl>
    <w:p w14:paraId="7F0A02D4" w14:textId="66088BA5" w:rsidR="005C3C2B" w:rsidRPr="005C3C2B" w:rsidRDefault="005C3C2B" w:rsidP="008C6915"/>
    <w:sectPr w:rsidR="005C3C2B" w:rsidRPr="005C3C2B" w:rsidSect="002C765A">
      <w:footerReference w:type="even" r:id="rId27"/>
      <w:footerReference w:type="default" r:id="rId28"/>
      <w:pgSz w:w="11906" w:h="16838"/>
      <w:pgMar w:top="1276" w:right="1274" w:bottom="1440" w:left="1440" w:header="70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34A94" w14:textId="77777777" w:rsidR="00944C3A" w:rsidRDefault="00944C3A" w:rsidP="000E061E">
      <w:r>
        <w:separator/>
      </w:r>
    </w:p>
  </w:endnote>
  <w:endnote w:type="continuationSeparator" w:id="0">
    <w:p w14:paraId="4C14F967" w14:textId="77777777" w:rsidR="00944C3A" w:rsidRDefault="00944C3A" w:rsidP="000E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 N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4190453"/>
      <w:docPartObj>
        <w:docPartGallery w:val="Page Numbers (Bottom of Page)"/>
        <w:docPartUnique/>
      </w:docPartObj>
    </w:sdtPr>
    <w:sdtEndPr>
      <w:rPr>
        <w:rStyle w:val="PageNumber"/>
      </w:rPr>
    </w:sdtEndPr>
    <w:sdtContent>
      <w:p w14:paraId="17F3463A" w14:textId="77777777" w:rsidR="00794DF2" w:rsidRDefault="00794DF2" w:rsidP="000E061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D9DDDC" w14:textId="77777777" w:rsidR="00794DF2" w:rsidRDefault="00794DF2" w:rsidP="000E0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691777"/>
      <w:docPartObj>
        <w:docPartGallery w:val="Page Numbers (Bottom of Page)"/>
        <w:docPartUnique/>
      </w:docPartObj>
    </w:sdtPr>
    <w:sdtEndPr>
      <w:rPr>
        <w:noProof/>
      </w:rPr>
    </w:sdtEndPr>
    <w:sdtContent>
      <w:p w14:paraId="13AB9F5F" w14:textId="3CDD0B75" w:rsidR="00161E45" w:rsidRDefault="00161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5E6D3" w14:textId="19134786" w:rsidR="00794DF2" w:rsidRPr="009D2B5E" w:rsidRDefault="00794DF2" w:rsidP="000E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8B5AD" w14:textId="77777777" w:rsidR="00944C3A" w:rsidRDefault="00944C3A" w:rsidP="000E061E">
      <w:r>
        <w:separator/>
      </w:r>
    </w:p>
  </w:footnote>
  <w:footnote w:type="continuationSeparator" w:id="0">
    <w:p w14:paraId="714B5EB1" w14:textId="77777777" w:rsidR="00944C3A" w:rsidRDefault="00944C3A" w:rsidP="000E061E">
      <w:r>
        <w:continuationSeparator/>
      </w:r>
    </w:p>
  </w:footnote>
  <w:footnote w:id="1">
    <w:p w14:paraId="4DE0DDAA" w14:textId="38D63D80" w:rsidR="00FF5627" w:rsidRDefault="00FF5627">
      <w:pPr>
        <w:pStyle w:val="FootnoteText"/>
      </w:pPr>
      <w:r>
        <w:rPr>
          <w:rStyle w:val="FootnoteReference"/>
        </w:rPr>
        <w:footnoteRef/>
      </w:r>
      <w:r>
        <w:t xml:space="preserve"> </w:t>
      </w:r>
      <w:r w:rsidRPr="00FF5627">
        <w:t>https://www.sbai.org/standards/</w:t>
      </w:r>
    </w:p>
  </w:footnote>
  <w:footnote w:id="2">
    <w:p w14:paraId="53A62EB6" w14:textId="77777777" w:rsidR="00837087" w:rsidRPr="00CF70EE" w:rsidRDefault="00837087" w:rsidP="00837087">
      <w:pPr>
        <w:pStyle w:val="Notes"/>
        <w:rPr>
          <w:szCs w:val="16"/>
        </w:rPr>
      </w:pPr>
      <w:r w:rsidRPr="00CF70EE">
        <w:rPr>
          <w:rStyle w:val="FootnoteReference"/>
          <w:szCs w:val="16"/>
        </w:rPr>
        <w:footnoteRef/>
      </w:r>
      <w:r w:rsidRPr="00CF70EE">
        <w:rPr>
          <w:szCs w:val="16"/>
        </w:rPr>
        <w:t xml:space="preserve"> </w:t>
      </w:r>
      <w:r w:rsidRPr="004671D7">
        <w:rPr>
          <w:sz w:val="18"/>
          <w:szCs w:val="18"/>
        </w:rPr>
        <w:t>Managers may require further guida</w:t>
      </w:r>
      <w:r>
        <w:rPr>
          <w:sz w:val="18"/>
          <w:szCs w:val="18"/>
        </w:rPr>
        <w:t>nce, as set out by GIPS</w:t>
      </w:r>
      <w:r w:rsidRPr="004671D7">
        <w:rPr>
          <w:sz w:val="18"/>
          <w:szCs w:val="18"/>
        </w:rPr>
        <w:t xml:space="preserve"> on disclosure of fees and cost (section F), www.gipsstandards.org</w:t>
      </w:r>
    </w:p>
  </w:footnote>
  <w:footnote w:id="3">
    <w:p w14:paraId="295AEDC9" w14:textId="24CA16C4" w:rsidR="00837087" w:rsidRPr="007B139C" w:rsidRDefault="00837087" w:rsidP="00837087">
      <w:pPr>
        <w:pStyle w:val="FootnoteText"/>
      </w:pPr>
      <w:r>
        <w:rPr>
          <w:rStyle w:val="FootnoteReference"/>
        </w:rPr>
        <w:footnoteRef/>
      </w:r>
      <w:r w:rsidRPr="007B139C">
        <w:t xml:space="preserve"> </w:t>
      </w:r>
      <w:r>
        <w:t xml:space="preserve">See introduction, chapter </w:t>
      </w:r>
      <w:r w:rsidR="00BD4998">
        <w:t>1</w:t>
      </w:r>
      <w:r>
        <w:t>.3: The fund versus the manager</w:t>
      </w:r>
      <w:r w:rsidR="00BD4998">
        <w:t xml:space="preserve"> (in the full standards document)</w:t>
      </w:r>
      <w:r w:rsidR="0065696F">
        <w:t>.</w:t>
      </w:r>
    </w:p>
  </w:footnote>
  <w:footnote w:id="4">
    <w:p w14:paraId="2061008D" w14:textId="3797A445" w:rsidR="00837087" w:rsidRPr="007B139C" w:rsidRDefault="00837087" w:rsidP="00837087">
      <w:pPr>
        <w:pStyle w:val="FootnoteText"/>
      </w:pPr>
      <w:r>
        <w:rPr>
          <w:rStyle w:val="FootnoteReference"/>
        </w:rPr>
        <w:footnoteRef/>
      </w:r>
      <w:r w:rsidRPr="007B139C">
        <w:t xml:space="preserve"> </w:t>
      </w:r>
      <w:r w:rsidR="00BD4998">
        <w:t>See introduction, chapter 1.3: The fund versus the manager (in the full standards document).</w:t>
      </w:r>
    </w:p>
  </w:footnote>
  <w:footnote w:id="5">
    <w:p w14:paraId="445EF478" w14:textId="77777777" w:rsidR="00837087" w:rsidRDefault="00837087" w:rsidP="00837087">
      <w:pPr>
        <w:pStyle w:val="Notes"/>
      </w:pPr>
      <w:r>
        <w:rPr>
          <w:rStyle w:val="FootnoteReference"/>
        </w:rPr>
        <w:footnoteRef/>
      </w:r>
      <w:r>
        <w:t xml:space="preserve"> </w:t>
      </w:r>
      <w:r w:rsidRPr="004671D7">
        <w:rPr>
          <w:sz w:val="18"/>
          <w:szCs w:val="18"/>
        </w:rPr>
        <w:t>“Any term the effect of which might be reasonably expected to provide the investor with more favourable treatment than other holders of the same class of shares or interests which enhance that investor’s ability either (</w:t>
      </w:r>
      <w:proofErr w:type="spellStart"/>
      <w:r w:rsidRPr="004671D7">
        <w:rPr>
          <w:sz w:val="18"/>
          <w:szCs w:val="18"/>
        </w:rPr>
        <w:t>i</w:t>
      </w:r>
      <w:proofErr w:type="spellEnd"/>
      <w:r w:rsidRPr="004671D7">
        <w:rPr>
          <w:sz w:val="18"/>
          <w:szCs w:val="18"/>
        </w:rPr>
        <w:t>) to redeem shares or interests of that class or (ii) to determine as to whether to redeem shares or interests of that class, and which in either case might be reasonably expected to put other holders of shares or interests of that class who are in the same position at a material disadvantage based on the exercise of their redemption rights.”</w:t>
      </w:r>
      <w:r>
        <w:rPr>
          <w:sz w:val="18"/>
          <w:szCs w:val="18"/>
        </w:rPr>
        <w:t xml:space="preserve"> (</w:t>
      </w:r>
      <w:r w:rsidRPr="00D84FF2">
        <w:rPr>
          <w:sz w:val="18"/>
          <w:szCs w:val="18"/>
        </w:rPr>
        <w:t>https://katten.com/files/19837_the_fsa_hedge_funds_and_side_letters.pdf</w:t>
      </w:r>
      <w:r>
        <w:rPr>
          <w:sz w:val="18"/>
          <w:szCs w:val="18"/>
        </w:rPr>
        <w:t>)</w:t>
      </w:r>
    </w:p>
  </w:footnote>
  <w:footnote w:id="6">
    <w:p w14:paraId="09D571DE" w14:textId="77777777" w:rsidR="00837087" w:rsidRPr="00623279" w:rsidRDefault="00837087" w:rsidP="00837087">
      <w:pPr>
        <w:pStyle w:val="FootnoteText"/>
      </w:pPr>
      <w:r>
        <w:rPr>
          <w:rStyle w:val="FootnoteReference"/>
        </w:rPr>
        <w:footnoteRef/>
      </w:r>
      <w:r w:rsidRPr="00C925F6">
        <w:t xml:space="preserve"> </w:t>
      </w:r>
      <w:r w:rsidRPr="00623279">
        <w:rPr>
          <w:bCs/>
        </w:rPr>
        <w:t xml:space="preserve">Similar strategies should be interpreted to include funds, accounts or vehicles managed by an investment management team or individual within the </w:t>
      </w:r>
      <w:r>
        <w:rPr>
          <w:bCs/>
        </w:rPr>
        <w:t>fund manager</w:t>
      </w:r>
      <w:r w:rsidRPr="00623279">
        <w:rPr>
          <w:bCs/>
        </w:rPr>
        <w:t xml:space="preserve"> and which trade </w:t>
      </w:r>
      <w:r w:rsidRPr="00623279">
        <w:rPr>
          <w:bCs/>
          <w:u w:val="single"/>
        </w:rPr>
        <w:t>substantially</w:t>
      </w:r>
      <w:r w:rsidRPr="00623279">
        <w:rPr>
          <w:bCs/>
        </w:rPr>
        <w:t xml:space="preserve"> in parallel, in whole or in part with the fund. Substantially similar trading patterns over time, rather than overlapping positions by themselves, is the key indicator (i.e., overlapping positions by themselves do not define similarity).</w:t>
      </w:r>
    </w:p>
  </w:footnote>
  <w:footnote w:id="7">
    <w:p w14:paraId="5C7E160E" w14:textId="77777777" w:rsidR="00837087" w:rsidRPr="00623279" w:rsidRDefault="00837087" w:rsidP="00837087">
      <w:pPr>
        <w:pStyle w:val="FootnoteText"/>
      </w:pPr>
      <w:r w:rsidRPr="00623279">
        <w:rPr>
          <w:rStyle w:val="FootnoteReference"/>
        </w:rPr>
        <w:footnoteRef/>
      </w:r>
      <w:r w:rsidRPr="00623279">
        <w:t xml:space="preserve"> </w:t>
      </w:r>
      <w:r w:rsidRPr="00623279">
        <w:rPr>
          <w:bCs/>
        </w:rPr>
        <w:t xml:space="preserve">For the avoidance of doubt, the Standard requires </w:t>
      </w:r>
      <w:r>
        <w:rPr>
          <w:bCs/>
        </w:rPr>
        <w:t>fund manager</w:t>
      </w:r>
      <w:r w:rsidRPr="00623279">
        <w:rPr>
          <w:bCs/>
        </w:rPr>
        <w:t>s to disclose that they manage other funds, accounts</w:t>
      </w:r>
      <w:r>
        <w:rPr>
          <w:bCs/>
        </w:rPr>
        <w:t>,</w:t>
      </w:r>
      <w:r w:rsidRPr="00623279">
        <w:rPr>
          <w:bCs/>
        </w:rPr>
        <w:t xml:space="preserve"> or vehicles, but does not require disclosure of specific details of such funds, accounts</w:t>
      </w:r>
      <w:r>
        <w:rPr>
          <w:bCs/>
        </w:rPr>
        <w:t>,</w:t>
      </w:r>
      <w:r w:rsidRPr="00623279">
        <w:rPr>
          <w:bCs/>
        </w:rPr>
        <w:t xml:space="preserve"> or vehicles.</w:t>
      </w:r>
    </w:p>
  </w:footnote>
  <w:footnote w:id="8">
    <w:p w14:paraId="6C211111" w14:textId="77777777" w:rsidR="00837087" w:rsidRPr="00623279" w:rsidRDefault="00837087" w:rsidP="00837087">
      <w:pPr>
        <w:pStyle w:val="FootnoteText"/>
      </w:pPr>
      <w:r w:rsidRPr="00623279">
        <w:rPr>
          <w:rStyle w:val="FootnoteReference"/>
        </w:rPr>
        <w:footnoteRef/>
      </w:r>
      <w:r w:rsidRPr="00623279">
        <w:t xml:space="preserve"> </w:t>
      </w:r>
      <w:r w:rsidRPr="00623279">
        <w:rPr>
          <w:bCs/>
        </w:rPr>
        <w:t>For the avoidance of doubt, the Standard requires disclosure of aggregate partner/employee investment in the respective strategy, not a person-by-person break-down.</w:t>
      </w:r>
    </w:p>
  </w:footnote>
  <w:footnote w:id="9">
    <w:p w14:paraId="4B98AE4A" w14:textId="77777777" w:rsidR="00837087" w:rsidRPr="00C925F6" w:rsidRDefault="00837087" w:rsidP="00837087">
      <w:pPr>
        <w:pStyle w:val="FootnoteText"/>
      </w:pPr>
      <w:r w:rsidRPr="00623279">
        <w:rPr>
          <w:rStyle w:val="FootnoteReference"/>
        </w:rPr>
        <w:footnoteRef/>
      </w:r>
      <w:r w:rsidRPr="00623279">
        <w:t xml:space="preserve"> </w:t>
      </w:r>
      <w:r w:rsidRPr="00623279">
        <w:rPr>
          <w:bCs/>
        </w:rPr>
        <w:t>For the avoidance of doubt, a feeder fund, accessible only to partners or employees (or their connected persons) which only invests into a master fund accessible to external investors through a different feeder does not fall under this disclosure</w:t>
      </w:r>
      <w:r w:rsidRPr="00C925F6">
        <w:rPr>
          <w:bCs/>
          <w:color w:val="FF0000"/>
        </w:rPr>
        <w:t>.</w:t>
      </w:r>
    </w:p>
  </w:footnote>
  <w:footnote w:id="10">
    <w:p w14:paraId="3B632320" w14:textId="77777777" w:rsidR="00837087" w:rsidRPr="00A41D07" w:rsidRDefault="00837087" w:rsidP="00837087">
      <w:pPr>
        <w:pStyle w:val="FootnoteText"/>
      </w:pPr>
      <w:r>
        <w:rPr>
          <w:rStyle w:val="FootnoteReference"/>
        </w:rPr>
        <w:footnoteRef/>
      </w:r>
      <w:r>
        <w:t xml:space="preserve"> </w:t>
      </w:r>
      <w:r w:rsidRPr="00A41D07">
        <w:t>https://www.sbai.org/wp-content/uploads/2016/04/Toolbox-Memo-Case-Study-Conflicts-of-interest-between-parallel-funds-6-March-2020.pdf</w:t>
      </w:r>
    </w:p>
  </w:footnote>
  <w:footnote w:id="11">
    <w:p w14:paraId="50FA8738" w14:textId="77777777" w:rsidR="0061206C" w:rsidRPr="00EC5C6A" w:rsidRDefault="0061206C" w:rsidP="0061206C">
      <w:pPr>
        <w:pStyle w:val="FootnoteText"/>
      </w:pPr>
      <w:r>
        <w:rPr>
          <w:rStyle w:val="FootnoteReference"/>
        </w:rPr>
        <w:footnoteRef/>
      </w:r>
      <w:r>
        <w:t xml:space="preserve"> </w:t>
      </w:r>
      <w:r w:rsidRPr="00EC5C6A">
        <w:t>https://www.sbai.org/wp-content/uploads/2020/05/SBAI-Alternative-Credit-Valuations-Memo-20-May-2020.pdf</w:t>
      </w:r>
    </w:p>
  </w:footnote>
  <w:footnote w:id="12">
    <w:p w14:paraId="36223E05" w14:textId="77777777" w:rsidR="0061206C" w:rsidRPr="00EC5C6A" w:rsidRDefault="0061206C" w:rsidP="0061206C">
      <w:pPr>
        <w:pStyle w:val="FootnoteText"/>
      </w:pPr>
      <w:r>
        <w:rPr>
          <w:rStyle w:val="FootnoteReference"/>
        </w:rPr>
        <w:footnoteRef/>
      </w:r>
      <w:r>
        <w:t xml:space="preserve"> </w:t>
      </w:r>
      <w:r w:rsidRPr="00EC5C6A">
        <w:t>https://www.sbai.org/wp-content/uploads/2019/05/SBAI-Valuation-of-Insurance-Linked-Funds-7-May-2019.pdf</w:t>
      </w:r>
    </w:p>
  </w:footnote>
  <w:footnote w:id="13">
    <w:p w14:paraId="5AB21504" w14:textId="5B4FB966" w:rsidR="0061206C" w:rsidRPr="00D5635E" w:rsidRDefault="0061206C" w:rsidP="0061206C">
      <w:pPr>
        <w:pStyle w:val="FootnoteText"/>
      </w:pPr>
      <w:r>
        <w:rPr>
          <w:rStyle w:val="FootnoteReference"/>
        </w:rPr>
        <w:footnoteRef/>
      </w:r>
      <w:r w:rsidRPr="00D5635E">
        <w:t xml:space="preserve"> </w:t>
      </w:r>
      <w:r w:rsidR="00BD4998">
        <w:t>See introduction, chapter 1.3: The fund versus the manager (in the full standards document).</w:t>
      </w:r>
    </w:p>
  </w:footnote>
  <w:footnote w:id="14">
    <w:p w14:paraId="7CDD1410" w14:textId="77777777" w:rsidR="0061206C" w:rsidRPr="001B4056" w:rsidRDefault="0061206C" w:rsidP="0061206C">
      <w:pPr>
        <w:pStyle w:val="FootnoteText"/>
      </w:pPr>
      <w:r>
        <w:rPr>
          <w:rStyle w:val="FootnoteReference"/>
        </w:rPr>
        <w:footnoteRef/>
      </w:r>
      <w:r>
        <w:t xml:space="preserve"> </w:t>
      </w:r>
      <w:r w:rsidRPr="00EC5C6A">
        <w:t>https://www.sbai.org/wp-content/uploads/2020/05/SBAI-Alternative-Credit-Valuations-Memo-20-May-2020.pdf</w:t>
      </w:r>
    </w:p>
  </w:footnote>
  <w:footnote w:id="15">
    <w:p w14:paraId="4857B34E" w14:textId="77777777" w:rsidR="0061206C" w:rsidRPr="001B509E" w:rsidRDefault="0061206C" w:rsidP="0061206C">
      <w:pPr>
        <w:pStyle w:val="FootnoteText"/>
      </w:pPr>
      <w:r>
        <w:rPr>
          <w:rStyle w:val="FootnoteReference"/>
        </w:rPr>
        <w:footnoteRef/>
      </w:r>
      <w:r>
        <w:t xml:space="preserve"> </w:t>
      </w:r>
      <w:r w:rsidRPr="00EC5C6A">
        <w:t>https://www.sbai.org/wp-content/uploads/2019/05/SBAI-Valuation-of-Insurance-Linked-Funds-7-May-2019.pdf</w:t>
      </w:r>
    </w:p>
  </w:footnote>
  <w:footnote w:id="16">
    <w:p w14:paraId="67869D29" w14:textId="77777777" w:rsidR="0061206C" w:rsidRPr="001B509E" w:rsidRDefault="0061206C" w:rsidP="0061206C">
      <w:pPr>
        <w:pStyle w:val="FootnoteText"/>
      </w:pPr>
      <w:r>
        <w:rPr>
          <w:rStyle w:val="FootnoteReference"/>
        </w:rPr>
        <w:footnoteRef/>
      </w:r>
      <w:r>
        <w:t xml:space="preserve"> </w:t>
      </w:r>
      <w:r w:rsidRPr="00320379">
        <w:t>https://www.iosco.org/library/pubdocs/pdf/IOSCOPD413.pdf</w:t>
      </w:r>
    </w:p>
  </w:footnote>
  <w:footnote w:id="17">
    <w:p w14:paraId="32482854" w14:textId="77777777" w:rsidR="0061206C" w:rsidRPr="001B509E" w:rsidRDefault="0061206C" w:rsidP="0061206C">
      <w:pPr>
        <w:pStyle w:val="FootnoteText"/>
      </w:pPr>
      <w:r>
        <w:rPr>
          <w:rStyle w:val="FootnoteReference"/>
        </w:rPr>
        <w:footnoteRef/>
      </w:r>
      <w:r>
        <w:t xml:space="preserve"> </w:t>
      </w:r>
      <w:r w:rsidRPr="00F73285">
        <w:t>https://www.iosco.org/library/pubdocs/pdf/IOSCOPD240.pdf</w:t>
      </w:r>
    </w:p>
  </w:footnote>
  <w:footnote w:id="18">
    <w:p w14:paraId="153FF0B7" w14:textId="36FF6E16" w:rsidR="0061206C" w:rsidRPr="00D5635E" w:rsidRDefault="0061206C" w:rsidP="0061206C">
      <w:pPr>
        <w:pStyle w:val="FootnoteText"/>
      </w:pPr>
      <w:r>
        <w:rPr>
          <w:rStyle w:val="FootnoteReference"/>
        </w:rPr>
        <w:footnoteRef/>
      </w:r>
      <w:r w:rsidRPr="00D5635E">
        <w:t xml:space="preserve"> </w:t>
      </w:r>
      <w:r w:rsidR="00BD4998">
        <w:t>See introduction, chapter 1.3: The fund versus the manager (in the full standards document).</w:t>
      </w:r>
    </w:p>
  </w:footnote>
  <w:footnote w:id="19">
    <w:p w14:paraId="510259EC" w14:textId="299F13D0" w:rsidR="0061206C" w:rsidRPr="00D5635E" w:rsidRDefault="0061206C" w:rsidP="0061206C">
      <w:pPr>
        <w:pStyle w:val="FootnoteText"/>
      </w:pPr>
      <w:r>
        <w:rPr>
          <w:rStyle w:val="FootnoteReference"/>
        </w:rPr>
        <w:footnoteRef/>
      </w:r>
      <w:r w:rsidRPr="00D5635E">
        <w:t xml:space="preserve"> </w:t>
      </w:r>
      <w:r w:rsidR="00BD4998">
        <w:t>See introduction, chapter 1.3: The fund versus the manager (in the full standards document).</w:t>
      </w:r>
    </w:p>
  </w:footnote>
  <w:footnote w:id="20">
    <w:p w14:paraId="62408A79" w14:textId="4B8370FB" w:rsidR="0061206C" w:rsidRPr="00D5635E" w:rsidRDefault="0061206C" w:rsidP="0061206C">
      <w:pPr>
        <w:pStyle w:val="FootnoteText"/>
      </w:pPr>
      <w:r>
        <w:rPr>
          <w:rStyle w:val="FootnoteReference"/>
        </w:rPr>
        <w:footnoteRef/>
      </w:r>
      <w:r w:rsidRPr="00D5635E">
        <w:t xml:space="preserve"> </w:t>
      </w:r>
      <w:r w:rsidR="00BD4998">
        <w:t>See introduction, chapter 1.3: The fund versus the manager (in the full standards document).</w:t>
      </w:r>
    </w:p>
  </w:footnote>
  <w:footnote w:id="21">
    <w:p w14:paraId="610D38B2" w14:textId="5E06E1D1" w:rsidR="0061206C" w:rsidRPr="00D23BC2" w:rsidRDefault="0061206C" w:rsidP="0061206C">
      <w:pPr>
        <w:pStyle w:val="FootnoteText"/>
      </w:pPr>
      <w:r>
        <w:rPr>
          <w:rStyle w:val="FootnoteReference"/>
        </w:rPr>
        <w:footnoteRef/>
      </w:r>
      <w:r w:rsidRPr="00D23BC2">
        <w:t xml:space="preserve"> </w:t>
      </w:r>
      <w:r w:rsidR="00BD4998">
        <w:t>See introduction, chapter 1.3: The fund versus the manager (in the full standards document).</w:t>
      </w:r>
    </w:p>
  </w:footnote>
  <w:footnote w:id="22">
    <w:p w14:paraId="5344DE5A" w14:textId="4FD93057" w:rsidR="0061206C" w:rsidRPr="00D5635E" w:rsidRDefault="0061206C" w:rsidP="0061206C">
      <w:pPr>
        <w:pStyle w:val="FootnoteText"/>
      </w:pPr>
      <w:r>
        <w:rPr>
          <w:rStyle w:val="FootnoteReference"/>
        </w:rPr>
        <w:footnoteRef/>
      </w:r>
      <w:r w:rsidRPr="00D5635E">
        <w:t xml:space="preserve"> </w:t>
      </w:r>
      <w:r w:rsidR="00BD4998">
        <w:t>See introduction, chapter 1.3: The fund versus the manager (in the full standards document).</w:t>
      </w:r>
    </w:p>
  </w:footnote>
  <w:footnote w:id="23">
    <w:p w14:paraId="14130CCC" w14:textId="34B926FA" w:rsidR="0061206C" w:rsidRDefault="0061206C" w:rsidP="0061206C">
      <w:pPr>
        <w:pStyle w:val="Notes"/>
      </w:pPr>
      <w:r>
        <w:rPr>
          <w:rStyle w:val="FootnoteReference"/>
        </w:rPr>
        <w:footnoteRef/>
      </w:r>
      <w:r>
        <w:t xml:space="preserve"> May be subject to regional accounting standards</w:t>
      </w:r>
      <w:r w:rsidR="00741426">
        <w:t>.</w:t>
      </w:r>
    </w:p>
  </w:footnote>
  <w:footnote w:id="24">
    <w:p w14:paraId="39DEA961" w14:textId="77777777" w:rsidR="0061206C" w:rsidRPr="00E77840" w:rsidRDefault="0061206C" w:rsidP="0061206C">
      <w:pPr>
        <w:pStyle w:val="FootnoteText"/>
      </w:pPr>
      <w:r>
        <w:rPr>
          <w:rStyle w:val="FootnoteReference"/>
        </w:rPr>
        <w:footnoteRef/>
      </w:r>
      <w:r>
        <w:t xml:space="preserve"> </w:t>
      </w:r>
      <w:r w:rsidRPr="00E77840">
        <w:t>https://www.sbai.org/wp-content/uploads/2020/05/SBAI-Alternative-Credit-Valuations-Memo-20-May-2020.pdf</w:t>
      </w:r>
    </w:p>
  </w:footnote>
  <w:footnote w:id="25">
    <w:p w14:paraId="2E14BBB7" w14:textId="77777777" w:rsidR="0061206C" w:rsidRPr="00C94571" w:rsidRDefault="0061206C" w:rsidP="0061206C">
      <w:pPr>
        <w:pStyle w:val="FootnoteText"/>
      </w:pPr>
      <w:r>
        <w:rPr>
          <w:rStyle w:val="FootnoteReference"/>
        </w:rPr>
        <w:footnoteRef/>
      </w:r>
      <w:r>
        <w:t xml:space="preserve"> </w:t>
      </w:r>
      <w:r w:rsidRPr="00C94571">
        <w:t>https://www.sbai.org/wp-content/uploads/2019/05/SBAI-Valuation-of-Insurance-Linked-Funds-7-May-2019.pdf</w:t>
      </w:r>
    </w:p>
  </w:footnote>
  <w:footnote w:id="26">
    <w:p w14:paraId="6C722E46" w14:textId="77777777" w:rsidR="0061206C" w:rsidRPr="00C71C7A" w:rsidRDefault="0061206C" w:rsidP="0061206C">
      <w:pPr>
        <w:pStyle w:val="FootnoteText"/>
      </w:pPr>
      <w:r>
        <w:rPr>
          <w:rStyle w:val="FootnoteReference"/>
        </w:rPr>
        <w:footnoteRef/>
      </w:r>
      <w:r w:rsidRPr="00C71C7A">
        <w:t xml:space="preserve"> Formerly FAS 157</w:t>
      </w:r>
    </w:p>
  </w:footnote>
  <w:footnote w:id="27">
    <w:p w14:paraId="7366289D" w14:textId="249894D0" w:rsidR="0061206C" w:rsidRPr="00D5635E" w:rsidRDefault="0061206C" w:rsidP="0061206C">
      <w:pPr>
        <w:pStyle w:val="FootnoteText"/>
      </w:pPr>
      <w:r>
        <w:rPr>
          <w:rStyle w:val="FootnoteReference"/>
        </w:rPr>
        <w:footnoteRef/>
      </w:r>
      <w:r w:rsidRPr="00D5635E">
        <w:t xml:space="preserve"> </w:t>
      </w:r>
      <w:r w:rsidR="00BD4998">
        <w:t>See introduction, chapter 1.3: The fund versus the manager (in the full standards document).</w:t>
      </w:r>
    </w:p>
  </w:footnote>
  <w:footnote w:id="28">
    <w:p w14:paraId="7F12748D" w14:textId="4D75A248" w:rsidR="00A844C3" w:rsidRPr="00FF4366" w:rsidRDefault="00A844C3" w:rsidP="00A844C3">
      <w:pPr>
        <w:pStyle w:val="FootnoteText"/>
      </w:pPr>
      <w:r>
        <w:rPr>
          <w:rStyle w:val="FootnoteReference"/>
        </w:rPr>
        <w:footnoteRef/>
      </w:r>
      <w:r w:rsidRPr="00FF4366">
        <w:t xml:space="preserve"> </w:t>
      </w:r>
      <w:r w:rsidR="00BD4998">
        <w:t>See introduction, chapter 1.3: The fund versus the manager (in the full standards document).</w:t>
      </w:r>
    </w:p>
  </w:footnote>
  <w:footnote w:id="29">
    <w:p w14:paraId="020E3CD0" w14:textId="7F475668" w:rsidR="00A844C3" w:rsidRPr="00B44818" w:rsidRDefault="00A844C3" w:rsidP="00A844C3">
      <w:pPr>
        <w:pStyle w:val="FootnoteText"/>
      </w:pPr>
      <w:r>
        <w:rPr>
          <w:rStyle w:val="FootnoteReference"/>
        </w:rPr>
        <w:footnoteRef/>
      </w:r>
      <w:r w:rsidRPr="00B44818">
        <w:t xml:space="preserve"> </w:t>
      </w:r>
      <w:r w:rsidR="00BD4998">
        <w:t>See introduction, chapter 1.3: The fund versus the manager (in the full standards document).</w:t>
      </w:r>
    </w:p>
  </w:footnote>
  <w:footnote w:id="30">
    <w:p w14:paraId="5FFBF708" w14:textId="742813D4" w:rsidR="00A844C3" w:rsidRPr="001D7F43" w:rsidRDefault="00A844C3" w:rsidP="00A844C3">
      <w:pPr>
        <w:pStyle w:val="FootnoteText"/>
      </w:pPr>
      <w:r w:rsidRPr="00907EBB">
        <w:rPr>
          <w:rStyle w:val="FootnoteReference"/>
          <w:szCs w:val="18"/>
        </w:rPr>
        <w:footnoteRef/>
      </w:r>
      <w:r w:rsidRPr="00907EBB">
        <w:rPr>
          <w:szCs w:val="18"/>
        </w:rPr>
        <w:t xml:space="preserve"> </w:t>
      </w:r>
      <w:r w:rsidR="00BD4998">
        <w:t>See introduction, chapter 1.3: The fund versus the manager (in the full standards document).</w:t>
      </w:r>
    </w:p>
  </w:footnote>
  <w:footnote w:id="31">
    <w:p w14:paraId="6040CE7D" w14:textId="77777777" w:rsidR="00A844C3" w:rsidRPr="00504CFA" w:rsidRDefault="00A844C3" w:rsidP="00A844C3">
      <w:pPr>
        <w:pStyle w:val="FootnoteText"/>
      </w:pPr>
      <w:r>
        <w:rPr>
          <w:rStyle w:val="FootnoteReference"/>
        </w:rPr>
        <w:footnoteRef/>
      </w:r>
      <w:r>
        <w:t xml:space="preserve"> </w:t>
      </w:r>
      <w:r w:rsidRPr="00504CFA">
        <w:t>https://www.sbai.org/wp-content/uploads/2016/04/Toolbox-Memo-Cash-Handling-Cyber-Security-Final.pdf</w:t>
      </w:r>
    </w:p>
  </w:footnote>
  <w:footnote w:id="32">
    <w:p w14:paraId="313E706C" w14:textId="77777777" w:rsidR="00A844C3" w:rsidRPr="00BA4297" w:rsidRDefault="00A844C3" w:rsidP="00A844C3">
      <w:pPr>
        <w:pStyle w:val="FootnoteText"/>
      </w:pPr>
      <w:r>
        <w:rPr>
          <w:rStyle w:val="FootnoteReference"/>
        </w:rPr>
        <w:footnoteRef/>
      </w:r>
      <w:r>
        <w:t xml:space="preserve"> </w:t>
      </w:r>
      <w:r w:rsidRPr="00BA4297">
        <w:t>https://www.sbai.org/wp-content/uploads/2020/07/Toolbox-Memo-Backtesting-15-July-2020.pdf</w:t>
      </w:r>
    </w:p>
  </w:footnote>
  <w:footnote w:id="33">
    <w:p w14:paraId="436B9F00" w14:textId="77777777" w:rsidR="00A844C3" w:rsidRPr="00772C4F" w:rsidRDefault="00A844C3" w:rsidP="00A844C3">
      <w:pPr>
        <w:pStyle w:val="FootnoteText"/>
      </w:pPr>
      <w:r>
        <w:rPr>
          <w:rStyle w:val="FootnoteReference"/>
        </w:rPr>
        <w:footnoteRef/>
      </w:r>
      <w:r>
        <w:t xml:space="preserve"> </w:t>
      </w:r>
      <w:r w:rsidRPr="00772C4F">
        <w:t>https://www.sbai.org/wp-content/uploads/2016/04/Toolbox-Memo-Case-Study-Conflicts-of-interest-between-parallel-funds-6-March-2020.pdf</w:t>
      </w:r>
    </w:p>
  </w:footnote>
  <w:footnote w:id="34">
    <w:p w14:paraId="12BF8C95" w14:textId="72817299" w:rsidR="00A844C3" w:rsidRPr="00874EED" w:rsidRDefault="00A844C3" w:rsidP="00A844C3">
      <w:pPr>
        <w:pStyle w:val="Notes"/>
        <w:rPr>
          <w:rFonts w:ascii="Arial" w:hAnsi="Arial" w:cs="Arial"/>
          <w:szCs w:val="16"/>
        </w:rPr>
      </w:pPr>
      <w:r w:rsidRPr="00874EED">
        <w:rPr>
          <w:rStyle w:val="FootnoteReference"/>
          <w:rFonts w:ascii="Arial" w:hAnsi="Arial" w:cs="Arial"/>
          <w:szCs w:val="16"/>
        </w:rPr>
        <w:footnoteRef/>
      </w:r>
      <w:r w:rsidRPr="00874EED">
        <w:rPr>
          <w:rFonts w:ascii="Arial" w:hAnsi="Arial" w:cs="Arial"/>
          <w:szCs w:val="16"/>
        </w:rPr>
        <w:t xml:space="preserve"> Reports on controls under the ISAE 3402 (international), SAE16 (US), AAF 01/06 (UK) or other standards include a report from an independent service auditor</w:t>
      </w:r>
      <w:r w:rsidR="00874EED" w:rsidRPr="00874EED">
        <w:rPr>
          <w:rFonts w:ascii="Arial" w:hAnsi="Arial" w:cs="Arial"/>
          <w:szCs w:val="16"/>
        </w:rPr>
        <w:t>.</w:t>
      </w:r>
    </w:p>
  </w:footnote>
  <w:footnote w:id="35">
    <w:p w14:paraId="5980F1D7" w14:textId="147C8475" w:rsidR="00A844C3" w:rsidRPr="001D7F43" w:rsidRDefault="00A844C3" w:rsidP="00A844C3">
      <w:pPr>
        <w:pStyle w:val="FootnoteText"/>
      </w:pPr>
      <w:r>
        <w:rPr>
          <w:rStyle w:val="FootnoteReference"/>
        </w:rPr>
        <w:footnoteRef/>
      </w:r>
      <w:r w:rsidRPr="001D7F43">
        <w:t xml:space="preserve"> </w:t>
      </w:r>
      <w:r w:rsidR="00BD4998">
        <w:t>See introduction, chapter 1.3: The fund versus the manager (in the full standards document).</w:t>
      </w:r>
    </w:p>
  </w:footnote>
  <w:footnote w:id="36">
    <w:p w14:paraId="42CAAA69" w14:textId="739745CA" w:rsidR="00A844C3" w:rsidRPr="001D7F43" w:rsidRDefault="00A844C3" w:rsidP="00A844C3">
      <w:pPr>
        <w:pStyle w:val="FootnoteText"/>
      </w:pPr>
      <w:r>
        <w:rPr>
          <w:rStyle w:val="FootnoteReference"/>
        </w:rPr>
        <w:footnoteRef/>
      </w:r>
      <w:r w:rsidRPr="001D7F43">
        <w:t xml:space="preserve"> </w:t>
      </w:r>
      <w:r w:rsidR="00BD4998">
        <w:t>See introduction, chapter 1.3: The fund versus the manager (in the full standards document).</w:t>
      </w:r>
    </w:p>
  </w:footnote>
  <w:footnote w:id="37">
    <w:p w14:paraId="73F847CC" w14:textId="4EF53FA7" w:rsidR="00A844C3" w:rsidRPr="001D7F43" w:rsidRDefault="00A844C3" w:rsidP="00A844C3">
      <w:pPr>
        <w:pStyle w:val="FootnoteText"/>
      </w:pPr>
      <w:r>
        <w:rPr>
          <w:rStyle w:val="FootnoteReference"/>
        </w:rPr>
        <w:footnoteRef/>
      </w:r>
      <w:r w:rsidRPr="001D7F43">
        <w:t xml:space="preserve"> </w:t>
      </w:r>
      <w:r w:rsidR="00BD4998">
        <w:t>See introduction, chapter 1.3: The fund versus the manager (in the full standards document).</w:t>
      </w:r>
    </w:p>
  </w:footnote>
  <w:footnote w:id="38">
    <w:p w14:paraId="16E74C28" w14:textId="26A43EDB" w:rsidR="00A844C3" w:rsidRPr="001D7F43" w:rsidRDefault="00A844C3" w:rsidP="00A844C3">
      <w:pPr>
        <w:pStyle w:val="FootnoteText"/>
      </w:pPr>
      <w:r>
        <w:rPr>
          <w:rStyle w:val="FootnoteReference"/>
        </w:rPr>
        <w:footnoteRef/>
      </w:r>
      <w:r w:rsidRPr="001D7F43">
        <w:t xml:space="preserve"> </w:t>
      </w:r>
      <w:r w:rsidR="00BD4998">
        <w:t>See introduction, chapter 1.3: The fund versus the manager (in the full standards document).</w:t>
      </w:r>
    </w:p>
  </w:footnote>
  <w:footnote w:id="39">
    <w:p w14:paraId="42615580" w14:textId="77777777" w:rsidR="00A844C3" w:rsidRPr="00B96E2D" w:rsidRDefault="00A844C3" w:rsidP="00A844C3">
      <w:pPr>
        <w:pStyle w:val="FootnoteText"/>
      </w:pPr>
      <w:r>
        <w:rPr>
          <w:rStyle w:val="FootnoteReference"/>
        </w:rPr>
        <w:footnoteRef/>
      </w:r>
      <w:r>
        <w:t xml:space="preserve"> </w:t>
      </w:r>
      <w:r w:rsidRPr="00B96E2D">
        <w:t>https://www.sbai.org/wp-content/uploads/2016/04/Standardised-Board-Agenda-6-November-2019.pdf</w:t>
      </w:r>
    </w:p>
  </w:footnote>
  <w:footnote w:id="40">
    <w:p w14:paraId="2B19E778" w14:textId="1BA7D50D" w:rsidR="00A844C3" w:rsidRPr="00FE53DD" w:rsidRDefault="00A844C3" w:rsidP="00A844C3">
      <w:pPr>
        <w:pStyle w:val="FootnoteText"/>
        <w:spacing w:after="0"/>
      </w:pPr>
      <w:r>
        <w:rPr>
          <w:rStyle w:val="FootnoteReference"/>
        </w:rPr>
        <w:footnoteRef/>
      </w:r>
      <w:r w:rsidRPr="00FE53DD">
        <w:t xml:space="preserve"> </w:t>
      </w:r>
      <w:r w:rsidR="00BD4998">
        <w:t>See introduction, chapter 1.3: The fund versus the manager (in the full standards document).</w:t>
      </w:r>
    </w:p>
  </w:footnote>
  <w:footnote w:id="41">
    <w:p w14:paraId="1BD1A383" w14:textId="265F9DB6" w:rsidR="00A844C3" w:rsidRPr="00B415EB" w:rsidRDefault="00A844C3" w:rsidP="00A844C3">
      <w:pPr>
        <w:pStyle w:val="FootnoteText"/>
        <w:spacing w:after="0"/>
      </w:pPr>
      <w:r>
        <w:rPr>
          <w:rStyle w:val="FootnoteReference"/>
        </w:rPr>
        <w:footnoteRef/>
      </w:r>
      <w:r w:rsidRPr="00B415EB">
        <w:t xml:space="preserve"> </w:t>
      </w:r>
      <w:r w:rsidR="00BD4998">
        <w:t>See introduction, chapter 1.3: The fund versus the manager (in the full standards document).</w:t>
      </w:r>
    </w:p>
  </w:footnote>
  <w:footnote w:id="42">
    <w:p w14:paraId="547AA5EA" w14:textId="431BAD12" w:rsidR="00A844C3" w:rsidRPr="004C5277" w:rsidRDefault="00A844C3" w:rsidP="00A844C3">
      <w:pPr>
        <w:pStyle w:val="FootnoteText"/>
        <w:spacing w:after="0"/>
      </w:pPr>
      <w:r>
        <w:rPr>
          <w:rStyle w:val="FootnoteReference"/>
        </w:rPr>
        <w:footnoteRef/>
      </w:r>
      <w:r w:rsidRPr="004C5277">
        <w:t xml:space="preserve"> </w:t>
      </w:r>
      <w:r w:rsidR="00BD4998">
        <w:t>See introduction, chapter 1.3: The fund versus the manager (in the full standards document).</w:t>
      </w:r>
    </w:p>
  </w:footnote>
  <w:footnote w:id="43">
    <w:p w14:paraId="003BED3C" w14:textId="71E021B1" w:rsidR="00A844C3" w:rsidRPr="00B415EB" w:rsidRDefault="00A844C3" w:rsidP="00A844C3">
      <w:pPr>
        <w:pStyle w:val="FootnoteText"/>
        <w:spacing w:after="0"/>
      </w:pPr>
      <w:r>
        <w:rPr>
          <w:rStyle w:val="FootnoteReference"/>
        </w:rPr>
        <w:footnoteRef/>
      </w:r>
      <w:r w:rsidRPr="00B415EB">
        <w:t xml:space="preserve"> </w:t>
      </w:r>
      <w:r w:rsidR="00BD4998">
        <w:t>See introduction, chapter 1.3: The fund versus the manager (in the full standards document).</w:t>
      </w:r>
    </w:p>
  </w:footnote>
  <w:footnote w:id="44">
    <w:p w14:paraId="1608C781" w14:textId="77777777" w:rsidR="00A844C3" w:rsidRDefault="00A844C3" w:rsidP="00A844C3">
      <w:pPr>
        <w:pStyle w:val="Notes"/>
        <w:spacing w:after="0"/>
      </w:pPr>
      <w:r>
        <w:rPr>
          <w:rStyle w:val="FootnoteReference"/>
        </w:rPr>
        <w:footnoteRef/>
      </w:r>
      <w:r>
        <w:t xml:space="preserve"> AIC: Association of Investment Companies: The AIC Code of Corporate Governance, </w:t>
      </w:r>
      <w:proofErr w:type="gramStart"/>
      <w:r w:rsidRPr="0024365A">
        <w:t>https://www.theaic.co.uk/sites/default/files/documents/AIC2019AICCodeofCorporateGovernanceFeb19.pdf</w:t>
      </w:r>
      <w:r>
        <w:t>;</w:t>
      </w:r>
      <w:proofErr w:type="gramEnd"/>
      <w:r>
        <w:t xml:space="preserve"> </w:t>
      </w:r>
    </w:p>
  </w:footnote>
  <w:footnote w:id="45">
    <w:p w14:paraId="69DA55E3" w14:textId="53D9BE83" w:rsidR="00A844C3" w:rsidRPr="007B4E46" w:rsidRDefault="00A844C3" w:rsidP="00A844C3">
      <w:pPr>
        <w:pStyle w:val="FootnoteText"/>
      </w:pPr>
      <w:r>
        <w:rPr>
          <w:rStyle w:val="FootnoteReference"/>
        </w:rPr>
        <w:footnoteRef/>
      </w:r>
      <w:r w:rsidRPr="007B4E46">
        <w:t xml:space="preserve"> </w:t>
      </w:r>
      <w:r w:rsidR="00BD4998">
        <w:t>See introduction, chapter 1.3: The fund versus the manager (in the full standards document).</w:t>
      </w:r>
    </w:p>
  </w:footnote>
  <w:footnote w:id="46">
    <w:p w14:paraId="781DCC3F" w14:textId="2398B16B" w:rsidR="00A844C3" w:rsidRPr="007B4E46" w:rsidRDefault="00A844C3" w:rsidP="00A844C3">
      <w:pPr>
        <w:pStyle w:val="FootnoteText"/>
      </w:pPr>
      <w:r>
        <w:rPr>
          <w:rStyle w:val="FootnoteReference"/>
        </w:rPr>
        <w:footnoteRef/>
      </w:r>
      <w:r w:rsidRPr="007B4E46">
        <w:t xml:space="preserve"> </w:t>
      </w:r>
      <w:r w:rsidR="00BD4998">
        <w:t>See introduction, chapter 1.3: The fund versus the manager (in the full standards document).</w:t>
      </w:r>
    </w:p>
  </w:footnote>
  <w:footnote w:id="47">
    <w:p w14:paraId="2A3176B0" w14:textId="753ECA49" w:rsidR="00A844C3" w:rsidRPr="00F638F4" w:rsidRDefault="00A844C3" w:rsidP="00A844C3">
      <w:pPr>
        <w:pStyle w:val="FootnoteText"/>
      </w:pPr>
      <w:r>
        <w:rPr>
          <w:rStyle w:val="FootnoteReference"/>
        </w:rPr>
        <w:footnoteRef/>
      </w:r>
      <w:r w:rsidRPr="00F638F4">
        <w:t xml:space="preserve"> </w:t>
      </w:r>
      <w:r w:rsidR="00BD4998">
        <w:t>See introduction, chapter 1.3: The fund versus the manager (in the full standards document).</w:t>
      </w:r>
    </w:p>
  </w:footnote>
  <w:footnote w:id="48">
    <w:p w14:paraId="46A303B2" w14:textId="77777777" w:rsidR="00A844C3" w:rsidRDefault="00A844C3" w:rsidP="00A844C3">
      <w:pPr>
        <w:pStyle w:val="Notes"/>
      </w:pPr>
      <w:r>
        <w:rPr>
          <w:rStyle w:val="FootnoteReference"/>
        </w:rPr>
        <w:footnoteRef/>
      </w:r>
      <w:r>
        <w:t xml:space="preserve"> Black box trader: computerised, automated trading system, which generates buy and sell signals based on proprietary algorithms, often executing a larger number of trades.</w:t>
      </w:r>
    </w:p>
  </w:footnote>
  <w:footnote w:id="49">
    <w:p w14:paraId="76D1A19F" w14:textId="77777777" w:rsidR="00A844C3" w:rsidRDefault="00A844C3" w:rsidP="00A844C3">
      <w:pPr>
        <w:pStyle w:val="Notes"/>
      </w:pPr>
      <w:r>
        <w:rPr>
          <w:rStyle w:val="FootnoteReference"/>
        </w:rPr>
        <w:footnoteRef/>
      </w:r>
      <w:r>
        <w:t xml:space="preserve"> When buying stock, the investor will have to pay the market value of the holding. In the case of a derivative, the investor might only be exposed to the changes in value of the underlying stock, but with no need to fund the position at the outset and save for the posting of margin.</w:t>
      </w:r>
    </w:p>
  </w:footnote>
  <w:footnote w:id="50">
    <w:p w14:paraId="6332486C" w14:textId="42DFA2B6" w:rsidR="00A844C3" w:rsidRDefault="00A844C3" w:rsidP="00A844C3">
      <w:pPr>
        <w:pStyle w:val="Notes"/>
      </w:pPr>
      <w:r>
        <w:rPr>
          <w:rStyle w:val="FootnoteReference"/>
        </w:rPr>
        <w:footnoteRef/>
      </w:r>
      <w:r>
        <w:t xml:space="preserve"> Disclosure and Transparency Rules, </w:t>
      </w:r>
      <w:r w:rsidR="008C6915">
        <w:t>e.g.,</w:t>
      </w:r>
      <w:r>
        <w:t xml:space="preserve"> requiring disclosure of share ownership if certain thresholds are exceeded</w:t>
      </w:r>
      <w:r w:rsidR="008C6915">
        <w:t>.</w:t>
      </w:r>
    </w:p>
  </w:footnote>
  <w:footnote w:id="51">
    <w:p w14:paraId="1B113439" w14:textId="1872013A" w:rsidR="00A844C3" w:rsidRDefault="00A844C3" w:rsidP="00A844C3">
      <w:pPr>
        <w:pStyle w:val="Notes"/>
      </w:pPr>
      <w:r>
        <w:rPr>
          <w:rStyle w:val="FootnoteReference"/>
        </w:rPr>
        <w:footnoteRef/>
      </w:r>
      <w:r>
        <w:t xml:space="preserve"> NB: There is a disclosure obligation if under the terms of the derivative the fund can require physical delivery of the underlying securities</w:t>
      </w:r>
      <w:r w:rsidR="008C691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4FDC"/>
    <w:multiLevelType w:val="multilevel"/>
    <w:tmpl w:val="D3D2B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C13CC"/>
    <w:multiLevelType w:val="hybridMultilevel"/>
    <w:tmpl w:val="2E8292B0"/>
    <w:lvl w:ilvl="0" w:tplc="1068AA28">
      <w:start w:val="1"/>
      <w:numFmt w:val="decimal"/>
      <w:lvlText w:val="%1)"/>
      <w:lvlJc w:val="left"/>
      <w:pPr>
        <w:ind w:left="63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7312D"/>
    <w:multiLevelType w:val="hybridMultilevel"/>
    <w:tmpl w:val="CA723224"/>
    <w:lvl w:ilvl="0" w:tplc="F8C2BD18">
      <w:start w:val="1"/>
      <w:numFmt w:val="bullet"/>
      <w:pStyle w:val="Bullet"/>
      <w:lvlText w:val=""/>
      <w:lvlJc w:val="left"/>
      <w:pPr>
        <w:ind w:left="616" w:hanging="360"/>
      </w:pPr>
      <w:rPr>
        <w:rFonts w:ascii="Symbol" w:hAnsi="Symbol" w:cs="Symbol" w:hint="default"/>
      </w:rPr>
    </w:lvl>
    <w:lvl w:ilvl="1" w:tplc="08090003">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cs="Wingdings" w:hint="default"/>
      </w:rPr>
    </w:lvl>
    <w:lvl w:ilvl="3" w:tplc="08090001" w:tentative="1">
      <w:start w:val="1"/>
      <w:numFmt w:val="bullet"/>
      <w:lvlText w:val=""/>
      <w:lvlJc w:val="left"/>
      <w:pPr>
        <w:ind w:left="2776" w:hanging="360"/>
      </w:pPr>
      <w:rPr>
        <w:rFonts w:ascii="Symbol" w:hAnsi="Symbol" w:cs="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cs="Wingdings" w:hint="default"/>
      </w:rPr>
    </w:lvl>
    <w:lvl w:ilvl="6" w:tplc="08090001" w:tentative="1">
      <w:start w:val="1"/>
      <w:numFmt w:val="bullet"/>
      <w:lvlText w:val=""/>
      <w:lvlJc w:val="left"/>
      <w:pPr>
        <w:ind w:left="4936" w:hanging="360"/>
      </w:pPr>
      <w:rPr>
        <w:rFonts w:ascii="Symbol" w:hAnsi="Symbol" w:cs="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cs="Wingdings" w:hint="default"/>
      </w:rPr>
    </w:lvl>
  </w:abstractNum>
  <w:abstractNum w:abstractNumId="3" w15:restartNumberingAfterBreak="0">
    <w:nsid w:val="10140ED7"/>
    <w:multiLevelType w:val="hybridMultilevel"/>
    <w:tmpl w:val="08E458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5168C"/>
    <w:multiLevelType w:val="hybridMultilevel"/>
    <w:tmpl w:val="4888DDBA"/>
    <w:lvl w:ilvl="0" w:tplc="09A08E0C">
      <w:start w:val="1"/>
      <w:numFmt w:val="bullet"/>
      <w:lvlText w:val="-"/>
      <w:lvlJc w:val="left"/>
      <w:pPr>
        <w:ind w:left="1146" w:hanging="360"/>
      </w:pPr>
      <w:rPr>
        <w:rFonts w:ascii="TimesNewRoman" w:eastAsia="TimesNewRoman" w:hAnsi="TimesNewRoman" w:cs="TimesNew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D03303D"/>
    <w:multiLevelType w:val="multilevel"/>
    <w:tmpl w:val="7B0CF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2629"/>
        </w:tabs>
        <w:ind w:left="2629" w:hanging="360"/>
      </w:pPr>
      <w:rPr>
        <w:rFonts w:ascii="Wingdings" w:hAnsi="Wingdings" w:hint="default"/>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hint="default"/>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6" w15:restartNumberingAfterBreak="0">
    <w:nsid w:val="1D5332F2"/>
    <w:multiLevelType w:val="hybridMultilevel"/>
    <w:tmpl w:val="31A60062"/>
    <w:lvl w:ilvl="0" w:tplc="56764186">
      <w:start w:val="1"/>
      <w:numFmt w:val="bullet"/>
      <w:lvlText w:val=""/>
      <w:lvlJc w:val="left"/>
      <w:pPr>
        <w:ind w:left="616" w:hanging="360"/>
      </w:pPr>
      <w:rPr>
        <w:rFonts w:ascii="Symbol" w:hAnsi="Symbol" w:cs="Symbol" w:hint="default"/>
      </w:rPr>
    </w:lvl>
    <w:lvl w:ilvl="1" w:tplc="13668BFE">
      <w:start w:val="1"/>
      <w:numFmt w:val="bullet"/>
      <w:pStyle w:val="Listpara2ndlevel"/>
      <w:lvlText w:val="−"/>
      <w:lvlJc w:val="left"/>
      <w:pPr>
        <w:ind w:left="1336" w:hanging="360"/>
      </w:pPr>
      <w:rPr>
        <w:rFonts w:ascii="Arial" w:hAnsi="Arial" w:hint="default"/>
      </w:rPr>
    </w:lvl>
    <w:lvl w:ilvl="2" w:tplc="08090005" w:tentative="1">
      <w:start w:val="1"/>
      <w:numFmt w:val="bullet"/>
      <w:lvlText w:val=""/>
      <w:lvlJc w:val="left"/>
      <w:pPr>
        <w:ind w:left="2056" w:hanging="360"/>
      </w:pPr>
      <w:rPr>
        <w:rFonts w:ascii="Wingdings" w:hAnsi="Wingdings" w:cs="Wingdings" w:hint="default"/>
      </w:rPr>
    </w:lvl>
    <w:lvl w:ilvl="3" w:tplc="08090001" w:tentative="1">
      <w:start w:val="1"/>
      <w:numFmt w:val="bullet"/>
      <w:lvlText w:val=""/>
      <w:lvlJc w:val="left"/>
      <w:pPr>
        <w:ind w:left="2776" w:hanging="360"/>
      </w:pPr>
      <w:rPr>
        <w:rFonts w:ascii="Symbol" w:hAnsi="Symbol" w:cs="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cs="Wingdings" w:hint="default"/>
      </w:rPr>
    </w:lvl>
    <w:lvl w:ilvl="6" w:tplc="08090001" w:tentative="1">
      <w:start w:val="1"/>
      <w:numFmt w:val="bullet"/>
      <w:lvlText w:val=""/>
      <w:lvlJc w:val="left"/>
      <w:pPr>
        <w:ind w:left="4936" w:hanging="360"/>
      </w:pPr>
      <w:rPr>
        <w:rFonts w:ascii="Symbol" w:hAnsi="Symbol" w:cs="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cs="Wingdings" w:hint="default"/>
      </w:rPr>
    </w:lvl>
  </w:abstractNum>
  <w:abstractNum w:abstractNumId="7" w15:restartNumberingAfterBreak="0">
    <w:nsid w:val="1FEF3F5D"/>
    <w:multiLevelType w:val="hybridMultilevel"/>
    <w:tmpl w:val="25D0F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B05FD"/>
    <w:multiLevelType w:val="multilevel"/>
    <w:tmpl w:val="02560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decimal"/>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9" w15:restartNumberingAfterBreak="0">
    <w:nsid w:val="25EE6216"/>
    <w:multiLevelType w:val="hybridMultilevel"/>
    <w:tmpl w:val="60BC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F35B9"/>
    <w:multiLevelType w:val="hybridMultilevel"/>
    <w:tmpl w:val="8172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A2FB5"/>
    <w:multiLevelType w:val="hybridMultilevel"/>
    <w:tmpl w:val="E2380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A432BB"/>
    <w:multiLevelType w:val="hybridMultilevel"/>
    <w:tmpl w:val="70587506"/>
    <w:lvl w:ilvl="0" w:tplc="64905544">
      <w:start w:val="1"/>
      <w:numFmt w:val="lowerLetter"/>
      <w:lvlText w:val="%1)"/>
      <w:lvlJc w:val="left"/>
      <w:pPr>
        <w:ind w:left="967" w:hanging="360"/>
      </w:pPr>
      <w:rPr>
        <w:rFonts w:hint="default"/>
      </w:r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13" w15:restartNumberingAfterBreak="0">
    <w:nsid w:val="38FA044B"/>
    <w:multiLevelType w:val="hybridMultilevel"/>
    <w:tmpl w:val="C5E0D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A1886"/>
    <w:multiLevelType w:val="hybridMultilevel"/>
    <w:tmpl w:val="E97E3F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F5A63"/>
    <w:multiLevelType w:val="multilevel"/>
    <w:tmpl w:val="453A58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Wingdings" w:hAnsi="Wingdings" w:hint="default"/>
      </w:rPr>
    </w:lvl>
    <w:lvl w:ilvl="5">
      <w:start w:val="1"/>
      <w:numFmt w:val="lowerRoman"/>
      <w:lvlText w:val="–"/>
      <w:lvlJc w:val="left"/>
      <w:pPr>
        <w:tabs>
          <w:tab w:val="num" w:pos="600"/>
        </w:tabs>
        <w:ind w:left="600" w:hanging="360"/>
      </w:pPr>
      <w:rPr>
        <w:rFonts w:ascii="Times NR" w:hAnsi="Times NR"/>
      </w:rPr>
    </w:lvl>
    <w:lvl w:ilvl="6">
      <w:start w:val="1"/>
      <w:numFmt w:val="bullet"/>
      <w:lvlText w:val="–"/>
      <w:lvlJc w:val="left"/>
      <w:pPr>
        <w:tabs>
          <w:tab w:val="num" w:pos="1080"/>
        </w:tabs>
        <w:ind w:left="1080" w:hanging="360"/>
      </w:pPr>
      <w:rPr>
        <w:rFonts w:ascii="Arial" w:hAnsi="Arial" w:hint="default"/>
      </w:rPr>
    </w:lvl>
    <w:lvl w:ilvl="7">
      <w:start w:val="1"/>
      <w:numFmt w:val="bullet"/>
      <w:lvlText w:val=""/>
      <w:lvlJc w:val="left"/>
      <w:pPr>
        <w:tabs>
          <w:tab w:val="num" w:pos="1440"/>
        </w:tabs>
        <w:ind w:left="1440" w:hanging="360"/>
      </w:pPr>
      <w:rPr>
        <w:rFonts w:ascii="Symbol" w:hAnsi="Symbol" w:hint="default"/>
      </w:rPr>
    </w:lvl>
    <w:lvl w:ilvl="8">
      <w:start w:val="1"/>
      <w:numFmt w:val="lowerRoman"/>
      <w:lvlText w:val="%9."/>
      <w:lvlJc w:val="left"/>
      <w:pPr>
        <w:tabs>
          <w:tab w:val="num" w:pos="3240"/>
        </w:tabs>
        <w:ind w:left="3240" w:hanging="360"/>
      </w:pPr>
    </w:lvl>
  </w:abstractNum>
  <w:abstractNum w:abstractNumId="16" w15:restartNumberingAfterBreak="0">
    <w:nsid w:val="42807C2D"/>
    <w:multiLevelType w:val="hybridMultilevel"/>
    <w:tmpl w:val="3316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42ED4"/>
    <w:multiLevelType w:val="hybridMultilevel"/>
    <w:tmpl w:val="4DF043EC"/>
    <w:lvl w:ilvl="0" w:tplc="09A08E0C">
      <w:start w:val="1"/>
      <w:numFmt w:val="bullet"/>
      <w:lvlText w:val="-"/>
      <w:lvlJc w:val="left"/>
      <w:pPr>
        <w:ind w:left="1080" w:hanging="360"/>
      </w:pPr>
      <w:rPr>
        <w:rFonts w:ascii="TimesNewRoman" w:eastAsia="TimesNewRoman" w:hAnsi="TimesNewRoman" w:cs="TimesNew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0300637"/>
    <w:multiLevelType w:val="hybridMultilevel"/>
    <w:tmpl w:val="4A3A28CA"/>
    <w:lvl w:ilvl="0" w:tplc="422E4470">
      <w:start w:val="1"/>
      <w:numFmt w:val="decimal"/>
      <w:pStyle w:val="Numbered"/>
      <w:lvlText w:val="%1."/>
      <w:lvlJc w:val="left"/>
      <w:pPr>
        <w:ind w:left="616" w:hanging="360"/>
      </w:pPr>
      <w:rPr>
        <w:rFonts w:hint="default"/>
      </w:rPr>
    </w:lvl>
    <w:lvl w:ilvl="1" w:tplc="08090003">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cs="Wingdings" w:hint="default"/>
      </w:rPr>
    </w:lvl>
    <w:lvl w:ilvl="3" w:tplc="08090001" w:tentative="1">
      <w:start w:val="1"/>
      <w:numFmt w:val="bullet"/>
      <w:lvlText w:val=""/>
      <w:lvlJc w:val="left"/>
      <w:pPr>
        <w:ind w:left="2776" w:hanging="360"/>
      </w:pPr>
      <w:rPr>
        <w:rFonts w:ascii="Symbol" w:hAnsi="Symbol" w:cs="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cs="Wingdings" w:hint="default"/>
      </w:rPr>
    </w:lvl>
    <w:lvl w:ilvl="6" w:tplc="08090001" w:tentative="1">
      <w:start w:val="1"/>
      <w:numFmt w:val="bullet"/>
      <w:lvlText w:val=""/>
      <w:lvlJc w:val="left"/>
      <w:pPr>
        <w:ind w:left="4936" w:hanging="360"/>
      </w:pPr>
      <w:rPr>
        <w:rFonts w:ascii="Symbol" w:hAnsi="Symbol" w:cs="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cs="Wingdings" w:hint="default"/>
      </w:rPr>
    </w:lvl>
  </w:abstractNum>
  <w:abstractNum w:abstractNumId="19" w15:restartNumberingAfterBreak="0">
    <w:nsid w:val="50923477"/>
    <w:multiLevelType w:val="hybridMultilevel"/>
    <w:tmpl w:val="6810B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81F2F"/>
    <w:multiLevelType w:val="hybridMultilevel"/>
    <w:tmpl w:val="E536DC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A01BF"/>
    <w:multiLevelType w:val="hybridMultilevel"/>
    <w:tmpl w:val="467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25737"/>
    <w:multiLevelType w:val="hybridMultilevel"/>
    <w:tmpl w:val="58F2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41889"/>
    <w:multiLevelType w:val="hybridMultilevel"/>
    <w:tmpl w:val="F6548776"/>
    <w:lvl w:ilvl="0" w:tplc="08090017">
      <w:start w:val="1"/>
      <w:numFmt w:val="lowerLetter"/>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4" w15:restartNumberingAfterBreak="0">
    <w:nsid w:val="70CF7BFD"/>
    <w:multiLevelType w:val="hybridMultilevel"/>
    <w:tmpl w:val="FA589F9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25" w15:restartNumberingAfterBreak="0">
    <w:nsid w:val="790A3F80"/>
    <w:multiLevelType w:val="multilevel"/>
    <w:tmpl w:val="1DA804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hint="default"/>
      </w:rPr>
    </w:lvl>
    <w:lvl w:ilvl="5">
      <w:start w:val="1"/>
      <w:numFmt w:val="lowerRoman"/>
      <w:pStyle w:val="ListBullet2"/>
      <w:lvlText w:val="–"/>
      <w:lvlJc w:val="left"/>
      <w:pPr>
        <w:tabs>
          <w:tab w:val="num" w:pos="720"/>
        </w:tabs>
        <w:ind w:left="720" w:hanging="360"/>
      </w:pPr>
      <w:rPr>
        <w:rFonts w:ascii="Times NR" w:hAnsi="Times NR"/>
        <w:sz w:val="24"/>
        <w:szCs w:val="24"/>
      </w:rPr>
    </w:lvl>
    <w:lvl w:ilvl="6">
      <w:start w:val="1"/>
      <w:numFmt w:val="decimal"/>
      <w:pStyle w:val="ListBullet3"/>
      <w:lvlText w:val=""/>
      <w:lvlJc w:val="left"/>
      <w:pPr>
        <w:tabs>
          <w:tab w:val="num" w:pos="1080"/>
        </w:tabs>
        <w:ind w:left="1080" w:hanging="360"/>
      </w:pPr>
      <w:rPr>
        <w:rFonts w:ascii="Wingdings" w:hAnsi="Wingdings" w:hint="default"/>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num w:numId="1">
    <w:abstractNumId w:val="2"/>
  </w:num>
  <w:num w:numId="2">
    <w:abstractNumId w:val="6"/>
  </w:num>
  <w:num w:numId="3">
    <w:abstractNumId w:val="18"/>
  </w:num>
  <w:num w:numId="4">
    <w:abstractNumId w:val="9"/>
  </w:num>
  <w:num w:numId="5">
    <w:abstractNumId w:val="10"/>
  </w:num>
  <w:num w:numId="6">
    <w:abstractNumId w:val="14"/>
  </w:num>
  <w:num w:numId="7">
    <w:abstractNumId w:val="2"/>
  </w:num>
  <w:num w:numId="8">
    <w:abstractNumId w:val="22"/>
  </w:num>
  <w:num w:numId="9">
    <w:abstractNumId w:val="7"/>
  </w:num>
  <w:num w:numId="10">
    <w:abstractNumId w:val="5"/>
  </w:num>
  <w:num w:numId="11">
    <w:abstractNumId w:val="0"/>
  </w:num>
  <w:num w:numId="12">
    <w:abstractNumId w:val="13"/>
  </w:num>
  <w:num w:numId="13">
    <w:abstractNumId w:val="25"/>
  </w:num>
  <w:num w:numId="14">
    <w:abstractNumId w:val="15"/>
  </w:num>
  <w:num w:numId="15">
    <w:abstractNumId w:val="1"/>
  </w:num>
  <w:num w:numId="16">
    <w:abstractNumId w:val="23"/>
  </w:num>
  <w:num w:numId="17">
    <w:abstractNumId w:val="16"/>
  </w:num>
  <w:num w:numId="18">
    <w:abstractNumId w:val="8"/>
  </w:num>
  <w:num w:numId="19">
    <w:abstractNumId w:val="4"/>
  </w:num>
  <w:num w:numId="20">
    <w:abstractNumId w:val="21"/>
  </w:num>
  <w:num w:numId="21">
    <w:abstractNumId w:val="11"/>
  </w:num>
  <w:num w:numId="22">
    <w:abstractNumId w:val="17"/>
  </w:num>
  <w:num w:numId="23">
    <w:abstractNumId w:val="20"/>
  </w:num>
  <w:num w:numId="24">
    <w:abstractNumId w:val="24"/>
  </w:num>
  <w:num w:numId="25">
    <w:abstractNumId w:val="12"/>
  </w:num>
  <w:num w:numId="26">
    <w:abstractNumId w:val="19"/>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FA"/>
    <w:rsid w:val="00003E7C"/>
    <w:rsid w:val="00007410"/>
    <w:rsid w:val="00010F0E"/>
    <w:rsid w:val="00015338"/>
    <w:rsid w:val="000155C8"/>
    <w:rsid w:val="00020350"/>
    <w:rsid w:val="000209FD"/>
    <w:rsid w:val="00021126"/>
    <w:rsid w:val="00034B97"/>
    <w:rsid w:val="00036C37"/>
    <w:rsid w:val="00043AA2"/>
    <w:rsid w:val="00054AD0"/>
    <w:rsid w:val="00060138"/>
    <w:rsid w:val="00063484"/>
    <w:rsid w:val="00065E1E"/>
    <w:rsid w:val="00074CBB"/>
    <w:rsid w:val="00076024"/>
    <w:rsid w:val="00076942"/>
    <w:rsid w:val="000823EF"/>
    <w:rsid w:val="00082611"/>
    <w:rsid w:val="00082B8D"/>
    <w:rsid w:val="0008380F"/>
    <w:rsid w:val="00083A35"/>
    <w:rsid w:val="00084430"/>
    <w:rsid w:val="000866E5"/>
    <w:rsid w:val="000901DE"/>
    <w:rsid w:val="000907AE"/>
    <w:rsid w:val="000933C4"/>
    <w:rsid w:val="00096B3D"/>
    <w:rsid w:val="000A323B"/>
    <w:rsid w:val="000B0118"/>
    <w:rsid w:val="000B6D87"/>
    <w:rsid w:val="000C0B40"/>
    <w:rsid w:val="000C13F8"/>
    <w:rsid w:val="000C669D"/>
    <w:rsid w:val="000E061E"/>
    <w:rsid w:val="000E4100"/>
    <w:rsid w:val="000E780F"/>
    <w:rsid w:val="000F0E41"/>
    <w:rsid w:val="00101B4B"/>
    <w:rsid w:val="001052C0"/>
    <w:rsid w:val="0010670A"/>
    <w:rsid w:val="00111C24"/>
    <w:rsid w:val="00125865"/>
    <w:rsid w:val="00126408"/>
    <w:rsid w:val="001268A4"/>
    <w:rsid w:val="00127BB2"/>
    <w:rsid w:val="0013162B"/>
    <w:rsid w:val="00133E7E"/>
    <w:rsid w:val="0013411E"/>
    <w:rsid w:val="00135D22"/>
    <w:rsid w:val="00141281"/>
    <w:rsid w:val="0014239E"/>
    <w:rsid w:val="00144EFE"/>
    <w:rsid w:val="0014559B"/>
    <w:rsid w:val="00151063"/>
    <w:rsid w:val="001511E6"/>
    <w:rsid w:val="00160912"/>
    <w:rsid w:val="00160DAE"/>
    <w:rsid w:val="0016109F"/>
    <w:rsid w:val="00161E45"/>
    <w:rsid w:val="001634FB"/>
    <w:rsid w:val="001647F0"/>
    <w:rsid w:val="00167FA2"/>
    <w:rsid w:val="0017688A"/>
    <w:rsid w:val="00177A7C"/>
    <w:rsid w:val="00183948"/>
    <w:rsid w:val="00190090"/>
    <w:rsid w:val="00190482"/>
    <w:rsid w:val="00190B2A"/>
    <w:rsid w:val="00191D2C"/>
    <w:rsid w:val="0019314D"/>
    <w:rsid w:val="00193A0D"/>
    <w:rsid w:val="001961DA"/>
    <w:rsid w:val="00197922"/>
    <w:rsid w:val="00197E48"/>
    <w:rsid w:val="001A7652"/>
    <w:rsid w:val="001B0C52"/>
    <w:rsid w:val="001B3E2A"/>
    <w:rsid w:val="001C181D"/>
    <w:rsid w:val="001C1D37"/>
    <w:rsid w:val="001D037B"/>
    <w:rsid w:val="001D0CA0"/>
    <w:rsid w:val="001D16DF"/>
    <w:rsid w:val="001D33D9"/>
    <w:rsid w:val="001E1EB9"/>
    <w:rsid w:val="001E3B06"/>
    <w:rsid w:val="001E516D"/>
    <w:rsid w:val="001E5B10"/>
    <w:rsid w:val="001E63A9"/>
    <w:rsid w:val="001F0B7E"/>
    <w:rsid w:val="001F1687"/>
    <w:rsid w:val="001F355C"/>
    <w:rsid w:val="001F6644"/>
    <w:rsid w:val="001F7CB0"/>
    <w:rsid w:val="0020686C"/>
    <w:rsid w:val="00215BE8"/>
    <w:rsid w:val="00232CAB"/>
    <w:rsid w:val="00241FEB"/>
    <w:rsid w:val="00253687"/>
    <w:rsid w:val="00254820"/>
    <w:rsid w:val="00254E33"/>
    <w:rsid w:val="00264A07"/>
    <w:rsid w:val="0026742F"/>
    <w:rsid w:val="00275DEA"/>
    <w:rsid w:val="00286DEE"/>
    <w:rsid w:val="0029325B"/>
    <w:rsid w:val="002A218F"/>
    <w:rsid w:val="002A249F"/>
    <w:rsid w:val="002A26E8"/>
    <w:rsid w:val="002A2ABA"/>
    <w:rsid w:val="002A32F0"/>
    <w:rsid w:val="002A72EE"/>
    <w:rsid w:val="002B28AE"/>
    <w:rsid w:val="002B56D1"/>
    <w:rsid w:val="002B6DB1"/>
    <w:rsid w:val="002B7082"/>
    <w:rsid w:val="002B7203"/>
    <w:rsid w:val="002C1310"/>
    <w:rsid w:val="002C1F8F"/>
    <w:rsid w:val="002C30FC"/>
    <w:rsid w:val="002C38D1"/>
    <w:rsid w:val="002C765A"/>
    <w:rsid w:val="002D6AF2"/>
    <w:rsid w:val="002D71C0"/>
    <w:rsid w:val="002E19D4"/>
    <w:rsid w:val="002E7602"/>
    <w:rsid w:val="002F6C7C"/>
    <w:rsid w:val="002F724C"/>
    <w:rsid w:val="00304523"/>
    <w:rsid w:val="00304C6E"/>
    <w:rsid w:val="003169EF"/>
    <w:rsid w:val="0032638B"/>
    <w:rsid w:val="00326D56"/>
    <w:rsid w:val="00332A8A"/>
    <w:rsid w:val="00334473"/>
    <w:rsid w:val="00334BA0"/>
    <w:rsid w:val="003350D6"/>
    <w:rsid w:val="0033616E"/>
    <w:rsid w:val="00336FE8"/>
    <w:rsid w:val="00341782"/>
    <w:rsid w:val="00342FC8"/>
    <w:rsid w:val="00344584"/>
    <w:rsid w:val="00345352"/>
    <w:rsid w:val="0034561B"/>
    <w:rsid w:val="00351764"/>
    <w:rsid w:val="003521B7"/>
    <w:rsid w:val="0036126A"/>
    <w:rsid w:val="003631CF"/>
    <w:rsid w:val="00363ADC"/>
    <w:rsid w:val="00372E8C"/>
    <w:rsid w:val="00373F42"/>
    <w:rsid w:val="0037472F"/>
    <w:rsid w:val="00381ADE"/>
    <w:rsid w:val="00383B98"/>
    <w:rsid w:val="003873EC"/>
    <w:rsid w:val="00390290"/>
    <w:rsid w:val="00392DCC"/>
    <w:rsid w:val="00397DA4"/>
    <w:rsid w:val="003B2E7F"/>
    <w:rsid w:val="003B35D6"/>
    <w:rsid w:val="003C1B34"/>
    <w:rsid w:val="003C5F8D"/>
    <w:rsid w:val="003D253F"/>
    <w:rsid w:val="003D35E0"/>
    <w:rsid w:val="003D7863"/>
    <w:rsid w:val="003D7A8F"/>
    <w:rsid w:val="003E688B"/>
    <w:rsid w:val="00400901"/>
    <w:rsid w:val="00401953"/>
    <w:rsid w:val="00403211"/>
    <w:rsid w:val="00405E3C"/>
    <w:rsid w:val="00413F45"/>
    <w:rsid w:val="0041406F"/>
    <w:rsid w:val="004173B6"/>
    <w:rsid w:val="00417482"/>
    <w:rsid w:val="004176C7"/>
    <w:rsid w:val="00424EFD"/>
    <w:rsid w:val="00430398"/>
    <w:rsid w:val="00441D65"/>
    <w:rsid w:val="00442464"/>
    <w:rsid w:val="004458C4"/>
    <w:rsid w:val="004549D2"/>
    <w:rsid w:val="004563A2"/>
    <w:rsid w:val="0045787B"/>
    <w:rsid w:val="00462E98"/>
    <w:rsid w:val="00470127"/>
    <w:rsid w:val="00476214"/>
    <w:rsid w:val="00476B9C"/>
    <w:rsid w:val="00480AA9"/>
    <w:rsid w:val="00480C87"/>
    <w:rsid w:val="00483A75"/>
    <w:rsid w:val="00490B40"/>
    <w:rsid w:val="004A0A71"/>
    <w:rsid w:val="004A0BE8"/>
    <w:rsid w:val="004A6E41"/>
    <w:rsid w:val="004B0132"/>
    <w:rsid w:val="004B09BC"/>
    <w:rsid w:val="004B6D5B"/>
    <w:rsid w:val="004C718F"/>
    <w:rsid w:val="004C7F65"/>
    <w:rsid w:val="004D1714"/>
    <w:rsid w:val="004D2413"/>
    <w:rsid w:val="004D28C3"/>
    <w:rsid w:val="004D2D42"/>
    <w:rsid w:val="004E11E6"/>
    <w:rsid w:val="00500BDA"/>
    <w:rsid w:val="00511407"/>
    <w:rsid w:val="00512129"/>
    <w:rsid w:val="005130A1"/>
    <w:rsid w:val="00523359"/>
    <w:rsid w:val="00530364"/>
    <w:rsid w:val="005305FD"/>
    <w:rsid w:val="00533B5E"/>
    <w:rsid w:val="00535766"/>
    <w:rsid w:val="0053600B"/>
    <w:rsid w:val="00542032"/>
    <w:rsid w:val="00544A1E"/>
    <w:rsid w:val="0055100E"/>
    <w:rsid w:val="00556D6E"/>
    <w:rsid w:val="00560B7E"/>
    <w:rsid w:val="0056403A"/>
    <w:rsid w:val="00564435"/>
    <w:rsid w:val="005667E3"/>
    <w:rsid w:val="00571C7B"/>
    <w:rsid w:val="005726E7"/>
    <w:rsid w:val="0058318E"/>
    <w:rsid w:val="00583814"/>
    <w:rsid w:val="00586985"/>
    <w:rsid w:val="00590958"/>
    <w:rsid w:val="00591AA6"/>
    <w:rsid w:val="00597F02"/>
    <w:rsid w:val="005A4D45"/>
    <w:rsid w:val="005A584D"/>
    <w:rsid w:val="005B2A1A"/>
    <w:rsid w:val="005B5D53"/>
    <w:rsid w:val="005B6846"/>
    <w:rsid w:val="005C16A2"/>
    <w:rsid w:val="005C1A21"/>
    <w:rsid w:val="005C3C2B"/>
    <w:rsid w:val="005C72B1"/>
    <w:rsid w:val="005D26F0"/>
    <w:rsid w:val="005D292E"/>
    <w:rsid w:val="005E47F6"/>
    <w:rsid w:val="005F10BF"/>
    <w:rsid w:val="005F59B5"/>
    <w:rsid w:val="005F7A88"/>
    <w:rsid w:val="006009C6"/>
    <w:rsid w:val="00602141"/>
    <w:rsid w:val="0061206C"/>
    <w:rsid w:val="00615923"/>
    <w:rsid w:val="00616ECA"/>
    <w:rsid w:val="00620254"/>
    <w:rsid w:val="00637F4A"/>
    <w:rsid w:val="00642144"/>
    <w:rsid w:val="00643CEB"/>
    <w:rsid w:val="00654BB3"/>
    <w:rsid w:val="00656194"/>
    <w:rsid w:val="0065696F"/>
    <w:rsid w:val="00657AB0"/>
    <w:rsid w:val="00672C1F"/>
    <w:rsid w:val="00684541"/>
    <w:rsid w:val="006848F3"/>
    <w:rsid w:val="006A4A33"/>
    <w:rsid w:val="006A5BFB"/>
    <w:rsid w:val="006B23C0"/>
    <w:rsid w:val="006B275A"/>
    <w:rsid w:val="006C1E55"/>
    <w:rsid w:val="006C215C"/>
    <w:rsid w:val="006D6022"/>
    <w:rsid w:val="006E20FC"/>
    <w:rsid w:val="006E3988"/>
    <w:rsid w:val="006F0A0D"/>
    <w:rsid w:val="006F19D6"/>
    <w:rsid w:val="006F29C2"/>
    <w:rsid w:val="006F3E70"/>
    <w:rsid w:val="00704455"/>
    <w:rsid w:val="00704D4A"/>
    <w:rsid w:val="00710867"/>
    <w:rsid w:val="00710F23"/>
    <w:rsid w:val="0071117C"/>
    <w:rsid w:val="00715485"/>
    <w:rsid w:val="00715EE0"/>
    <w:rsid w:val="007202CC"/>
    <w:rsid w:val="00720E20"/>
    <w:rsid w:val="00724794"/>
    <w:rsid w:val="0072793B"/>
    <w:rsid w:val="00730E69"/>
    <w:rsid w:val="007322A0"/>
    <w:rsid w:val="00735456"/>
    <w:rsid w:val="007355BF"/>
    <w:rsid w:val="00741426"/>
    <w:rsid w:val="00744651"/>
    <w:rsid w:val="007455FF"/>
    <w:rsid w:val="00746104"/>
    <w:rsid w:val="00750B1E"/>
    <w:rsid w:val="0075357E"/>
    <w:rsid w:val="00753B94"/>
    <w:rsid w:val="00754A44"/>
    <w:rsid w:val="00754F08"/>
    <w:rsid w:val="00763BE9"/>
    <w:rsid w:val="00771A01"/>
    <w:rsid w:val="00771CA3"/>
    <w:rsid w:val="007752F4"/>
    <w:rsid w:val="00776515"/>
    <w:rsid w:val="00777BBF"/>
    <w:rsid w:val="00780614"/>
    <w:rsid w:val="00792370"/>
    <w:rsid w:val="007923CA"/>
    <w:rsid w:val="00794A3A"/>
    <w:rsid w:val="00794BF7"/>
    <w:rsid w:val="00794DF2"/>
    <w:rsid w:val="007A2D91"/>
    <w:rsid w:val="007A56C5"/>
    <w:rsid w:val="007A65D3"/>
    <w:rsid w:val="007B0EB1"/>
    <w:rsid w:val="007B135B"/>
    <w:rsid w:val="007B2C8F"/>
    <w:rsid w:val="007B4F77"/>
    <w:rsid w:val="007B58C8"/>
    <w:rsid w:val="007B64FE"/>
    <w:rsid w:val="007B78DE"/>
    <w:rsid w:val="007B7C7E"/>
    <w:rsid w:val="007C1ADE"/>
    <w:rsid w:val="007C2B0E"/>
    <w:rsid w:val="007C493B"/>
    <w:rsid w:val="007D323A"/>
    <w:rsid w:val="007D77AB"/>
    <w:rsid w:val="007E0B06"/>
    <w:rsid w:val="007E2BEB"/>
    <w:rsid w:val="007F0BA3"/>
    <w:rsid w:val="007F1B83"/>
    <w:rsid w:val="007F619E"/>
    <w:rsid w:val="007F7B0F"/>
    <w:rsid w:val="00803268"/>
    <w:rsid w:val="00803E10"/>
    <w:rsid w:val="00807FD4"/>
    <w:rsid w:val="008110BB"/>
    <w:rsid w:val="00817D7D"/>
    <w:rsid w:val="00820CF1"/>
    <w:rsid w:val="00826ADB"/>
    <w:rsid w:val="00835748"/>
    <w:rsid w:val="00837087"/>
    <w:rsid w:val="008378BA"/>
    <w:rsid w:val="008451E6"/>
    <w:rsid w:val="00845F01"/>
    <w:rsid w:val="00851EC0"/>
    <w:rsid w:val="00866EC3"/>
    <w:rsid w:val="00867754"/>
    <w:rsid w:val="0087089E"/>
    <w:rsid w:val="00871931"/>
    <w:rsid w:val="00873B4C"/>
    <w:rsid w:val="008745A5"/>
    <w:rsid w:val="00874EED"/>
    <w:rsid w:val="00874F25"/>
    <w:rsid w:val="008754C0"/>
    <w:rsid w:val="00875D57"/>
    <w:rsid w:val="00875E80"/>
    <w:rsid w:val="00881912"/>
    <w:rsid w:val="00886195"/>
    <w:rsid w:val="00886DC9"/>
    <w:rsid w:val="00890C29"/>
    <w:rsid w:val="008925F5"/>
    <w:rsid w:val="008932A0"/>
    <w:rsid w:val="0089600B"/>
    <w:rsid w:val="008A349D"/>
    <w:rsid w:val="008A3CFC"/>
    <w:rsid w:val="008A4FD0"/>
    <w:rsid w:val="008B0C24"/>
    <w:rsid w:val="008B0ED6"/>
    <w:rsid w:val="008B1BF5"/>
    <w:rsid w:val="008B4428"/>
    <w:rsid w:val="008C0F07"/>
    <w:rsid w:val="008C4236"/>
    <w:rsid w:val="008C5461"/>
    <w:rsid w:val="008C6915"/>
    <w:rsid w:val="008C6AD2"/>
    <w:rsid w:val="008C79E6"/>
    <w:rsid w:val="008D124D"/>
    <w:rsid w:val="008D27AE"/>
    <w:rsid w:val="008D4203"/>
    <w:rsid w:val="008E17D4"/>
    <w:rsid w:val="008F5164"/>
    <w:rsid w:val="0090033B"/>
    <w:rsid w:val="0090142A"/>
    <w:rsid w:val="00930B2D"/>
    <w:rsid w:val="009343CB"/>
    <w:rsid w:val="0093504D"/>
    <w:rsid w:val="0093596D"/>
    <w:rsid w:val="00935B49"/>
    <w:rsid w:val="00935CD7"/>
    <w:rsid w:val="00940DBB"/>
    <w:rsid w:val="00943724"/>
    <w:rsid w:val="00944C3A"/>
    <w:rsid w:val="0094649B"/>
    <w:rsid w:val="00954C06"/>
    <w:rsid w:val="0095727C"/>
    <w:rsid w:val="009615B8"/>
    <w:rsid w:val="00961793"/>
    <w:rsid w:val="00963B21"/>
    <w:rsid w:val="00965F3B"/>
    <w:rsid w:val="009668B2"/>
    <w:rsid w:val="009741C6"/>
    <w:rsid w:val="009851AE"/>
    <w:rsid w:val="00990F69"/>
    <w:rsid w:val="0099102F"/>
    <w:rsid w:val="009923DB"/>
    <w:rsid w:val="00992D94"/>
    <w:rsid w:val="00992D9F"/>
    <w:rsid w:val="009944A3"/>
    <w:rsid w:val="009A2895"/>
    <w:rsid w:val="009A7929"/>
    <w:rsid w:val="009B07AE"/>
    <w:rsid w:val="009B2D5F"/>
    <w:rsid w:val="009B4398"/>
    <w:rsid w:val="009D1FEE"/>
    <w:rsid w:val="009D2B5E"/>
    <w:rsid w:val="009D51A5"/>
    <w:rsid w:val="009F01B0"/>
    <w:rsid w:val="009F3C00"/>
    <w:rsid w:val="00A0056B"/>
    <w:rsid w:val="00A015B5"/>
    <w:rsid w:val="00A02EA9"/>
    <w:rsid w:val="00A03519"/>
    <w:rsid w:val="00A03A1A"/>
    <w:rsid w:val="00A03AB0"/>
    <w:rsid w:val="00A04025"/>
    <w:rsid w:val="00A04847"/>
    <w:rsid w:val="00A17852"/>
    <w:rsid w:val="00A17DAA"/>
    <w:rsid w:val="00A20FF8"/>
    <w:rsid w:val="00A232A4"/>
    <w:rsid w:val="00A248DB"/>
    <w:rsid w:val="00A25490"/>
    <w:rsid w:val="00A260AB"/>
    <w:rsid w:val="00A35239"/>
    <w:rsid w:val="00A3669B"/>
    <w:rsid w:val="00A44FCA"/>
    <w:rsid w:val="00A47C0E"/>
    <w:rsid w:val="00A51A0B"/>
    <w:rsid w:val="00A53254"/>
    <w:rsid w:val="00A55F57"/>
    <w:rsid w:val="00A56C9C"/>
    <w:rsid w:val="00A628E4"/>
    <w:rsid w:val="00A66E10"/>
    <w:rsid w:val="00A70F16"/>
    <w:rsid w:val="00A73716"/>
    <w:rsid w:val="00A73909"/>
    <w:rsid w:val="00A73FE4"/>
    <w:rsid w:val="00A743CB"/>
    <w:rsid w:val="00A7552B"/>
    <w:rsid w:val="00A804C3"/>
    <w:rsid w:val="00A844C3"/>
    <w:rsid w:val="00A864C1"/>
    <w:rsid w:val="00A8764E"/>
    <w:rsid w:val="00A9005C"/>
    <w:rsid w:val="00A90E65"/>
    <w:rsid w:val="00A935AE"/>
    <w:rsid w:val="00A93785"/>
    <w:rsid w:val="00AA0564"/>
    <w:rsid w:val="00AA151B"/>
    <w:rsid w:val="00AA512F"/>
    <w:rsid w:val="00AB1039"/>
    <w:rsid w:val="00AB2786"/>
    <w:rsid w:val="00AB6448"/>
    <w:rsid w:val="00AC1E24"/>
    <w:rsid w:val="00AC677F"/>
    <w:rsid w:val="00AC7DA5"/>
    <w:rsid w:val="00AD1827"/>
    <w:rsid w:val="00AD3785"/>
    <w:rsid w:val="00AD4B27"/>
    <w:rsid w:val="00AE325B"/>
    <w:rsid w:val="00AE6067"/>
    <w:rsid w:val="00AE6743"/>
    <w:rsid w:val="00AF1512"/>
    <w:rsid w:val="00AF2210"/>
    <w:rsid w:val="00AF5B81"/>
    <w:rsid w:val="00AF6627"/>
    <w:rsid w:val="00B0106E"/>
    <w:rsid w:val="00B12DD9"/>
    <w:rsid w:val="00B1359C"/>
    <w:rsid w:val="00B20E05"/>
    <w:rsid w:val="00B214D7"/>
    <w:rsid w:val="00B21798"/>
    <w:rsid w:val="00B34998"/>
    <w:rsid w:val="00B36BD2"/>
    <w:rsid w:val="00B36E6F"/>
    <w:rsid w:val="00B37B77"/>
    <w:rsid w:val="00B432F0"/>
    <w:rsid w:val="00B4357F"/>
    <w:rsid w:val="00B44904"/>
    <w:rsid w:val="00B472EC"/>
    <w:rsid w:val="00B539D3"/>
    <w:rsid w:val="00B560F5"/>
    <w:rsid w:val="00B602E4"/>
    <w:rsid w:val="00B61F61"/>
    <w:rsid w:val="00B6633A"/>
    <w:rsid w:val="00B701E8"/>
    <w:rsid w:val="00B71A58"/>
    <w:rsid w:val="00B7222D"/>
    <w:rsid w:val="00B74EBE"/>
    <w:rsid w:val="00B7663D"/>
    <w:rsid w:val="00B8154E"/>
    <w:rsid w:val="00B85F67"/>
    <w:rsid w:val="00B8749A"/>
    <w:rsid w:val="00B87EF3"/>
    <w:rsid w:val="00B9390B"/>
    <w:rsid w:val="00B94B36"/>
    <w:rsid w:val="00B94F5E"/>
    <w:rsid w:val="00B97236"/>
    <w:rsid w:val="00BA20F0"/>
    <w:rsid w:val="00BA54CF"/>
    <w:rsid w:val="00BA67E5"/>
    <w:rsid w:val="00BB1082"/>
    <w:rsid w:val="00BB1810"/>
    <w:rsid w:val="00BB4771"/>
    <w:rsid w:val="00BB6C7F"/>
    <w:rsid w:val="00BC0F28"/>
    <w:rsid w:val="00BC31A8"/>
    <w:rsid w:val="00BC31EB"/>
    <w:rsid w:val="00BC681B"/>
    <w:rsid w:val="00BC6FC5"/>
    <w:rsid w:val="00BC78B7"/>
    <w:rsid w:val="00BD4998"/>
    <w:rsid w:val="00BD68EA"/>
    <w:rsid w:val="00BD738B"/>
    <w:rsid w:val="00BE0BF5"/>
    <w:rsid w:val="00BF0D95"/>
    <w:rsid w:val="00BF1514"/>
    <w:rsid w:val="00BF311A"/>
    <w:rsid w:val="00C00135"/>
    <w:rsid w:val="00C001D5"/>
    <w:rsid w:val="00C01721"/>
    <w:rsid w:val="00C071A9"/>
    <w:rsid w:val="00C15813"/>
    <w:rsid w:val="00C17BC4"/>
    <w:rsid w:val="00C318F7"/>
    <w:rsid w:val="00C34542"/>
    <w:rsid w:val="00C347E1"/>
    <w:rsid w:val="00C3581D"/>
    <w:rsid w:val="00C3795A"/>
    <w:rsid w:val="00C42E8F"/>
    <w:rsid w:val="00C453B5"/>
    <w:rsid w:val="00C52623"/>
    <w:rsid w:val="00C56AE2"/>
    <w:rsid w:val="00C6377C"/>
    <w:rsid w:val="00C64568"/>
    <w:rsid w:val="00C676B3"/>
    <w:rsid w:val="00C70AD4"/>
    <w:rsid w:val="00C77423"/>
    <w:rsid w:val="00C77E9E"/>
    <w:rsid w:val="00C84FD0"/>
    <w:rsid w:val="00C85312"/>
    <w:rsid w:val="00C86228"/>
    <w:rsid w:val="00C968FA"/>
    <w:rsid w:val="00CA4648"/>
    <w:rsid w:val="00CB4F0F"/>
    <w:rsid w:val="00CB6883"/>
    <w:rsid w:val="00CC3C1D"/>
    <w:rsid w:val="00CD5A9F"/>
    <w:rsid w:val="00CD5AA5"/>
    <w:rsid w:val="00CD6529"/>
    <w:rsid w:val="00CE0849"/>
    <w:rsid w:val="00CF1F42"/>
    <w:rsid w:val="00CF3839"/>
    <w:rsid w:val="00D03024"/>
    <w:rsid w:val="00D05C67"/>
    <w:rsid w:val="00D061FA"/>
    <w:rsid w:val="00D108B6"/>
    <w:rsid w:val="00D11683"/>
    <w:rsid w:val="00D153CE"/>
    <w:rsid w:val="00D200C1"/>
    <w:rsid w:val="00D27174"/>
    <w:rsid w:val="00D35F89"/>
    <w:rsid w:val="00D439B1"/>
    <w:rsid w:val="00D503E5"/>
    <w:rsid w:val="00D50D04"/>
    <w:rsid w:val="00D55061"/>
    <w:rsid w:val="00D55E8D"/>
    <w:rsid w:val="00D55EA4"/>
    <w:rsid w:val="00D57691"/>
    <w:rsid w:val="00D60A88"/>
    <w:rsid w:val="00D60C90"/>
    <w:rsid w:val="00D67483"/>
    <w:rsid w:val="00D7768D"/>
    <w:rsid w:val="00D824CF"/>
    <w:rsid w:val="00D922C4"/>
    <w:rsid w:val="00D94827"/>
    <w:rsid w:val="00D95E83"/>
    <w:rsid w:val="00DB2320"/>
    <w:rsid w:val="00DB2AEB"/>
    <w:rsid w:val="00DB6C6F"/>
    <w:rsid w:val="00DB771B"/>
    <w:rsid w:val="00DC0615"/>
    <w:rsid w:val="00DC207A"/>
    <w:rsid w:val="00DC2A77"/>
    <w:rsid w:val="00DC2C64"/>
    <w:rsid w:val="00DC3264"/>
    <w:rsid w:val="00DD6CD5"/>
    <w:rsid w:val="00DD6E4A"/>
    <w:rsid w:val="00DD753A"/>
    <w:rsid w:val="00DE6C4C"/>
    <w:rsid w:val="00DF20E6"/>
    <w:rsid w:val="00DF2CC3"/>
    <w:rsid w:val="00E0003D"/>
    <w:rsid w:val="00E002E2"/>
    <w:rsid w:val="00E10086"/>
    <w:rsid w:val="00E23683"/>
    <w:rsid w:val="00E23738"/>
    <w:rsid w:val="00E27C40"/>
    <w:rsid w:val="00E34999"/>
    <w:rsid w:val="00E352B1"/>
    <w:rsid w:val="00E36055"/>
    <w:rsid w:val="00E36E56"/>
    <w:rsid w:val="00E3778C"/>
    <w:rsid w:val="00E440EA"/>
    <w:rsid w:val="00E5124F"/>
    <w:rsid w:val="00E51C59"/>
    <w:rsid w:val="00E52383"/>
    <w:rsid w:val="00E67A21"/>
    <w:rsid w:val="00E70D2B"/>
    <w:rsid w:val="00E77769"/>
    <w:rsid w:val="00E82D75"/>
    <w:rsid w:val="00E82DB3"/>
    <w:rsid w:val="00E83867"/>
    <w:rsid w:val="00E83A1F"/>
    <w:rsid w:val="00E85577"/>
    <w:rsid w:val="00E91CBD"/>
    <w:rsid w:val="00E93F1D"/>
    <w:rsid w:val="00E97D30"/>
    <w:rsid w:val="00EA0B8E"/>
    <w:rsid w:val="00EA6EBB"/>
    <w:rsid w:val="00EB281D"/>
    <w:rsid w:val="00EB41FC"/>
    <w:rsid w:val="00EB649C"/>
    <w:rsid w:val="00EC10F1"/>
    <w:rsid w:val="00ED6263"/>
    <w:rsid w:val="00ED7DCF"/>
    <w:rsid w:val="00EF4BF3"/>
    <w:rsid w:val="00EF7D98"/>
    <w:rsid w:val="00F004F8"/>
    <w:rsid w:val="00F00DF0"/>
    <w:rsid w:val="00F031A1"/>
    <w:rsid w:val="00F049D1"/>
    <w:rsid w:val="00F04FB2"/>
    <w:rsid w:val="00F06AF8"/>
    <w:rsid w:val="00F12877"/>
    <w:rsid w:val="00F13A8E"/>
    <w:rsid w:val="00F13B52"/>
    <w:rsid w:val="00F2057F"/>
    <w:rsid w:val="00F20CA9"/>
    <w:rsid w:val="00F21F38"/>
    <w:rsid w:val="00F227A9"/>
    <w:rsid w:val="00F23627"/>
    <w:rsid w:val="00F2469E"/>
    <w:rsid w:val="00F3155D"/>
    <w:rsid w:val="00F326EA"/>
    <w:rsid w:val="00F3278D"/>
    <w:rsid w:val="00F37A09"/>
    <w:rsid w:val="00F43723"/>
    <w:rsid w:val="00F44ABF"/>
    <w:rsid w:val="00F50D09"/>
    <w:rsid w:val="00F54426"/>
    <w:rsid w:val="00F6018D"/>
    <w:rsid w:val="00F61C1F"/>
    <w:rsid w:val="00F645F9"/>
    <w:rsid w:val="00F72C1A"/>
    <w:rsid w:val="00F73304"/>
    <w:rsid w:val="00F75D16"/>
    <w:rsid w:val="00F811C8"/>
    <w:rsid w:val="00F85E1B"/>
    <w:rsid w:val="00F90304"/>
    <w:rsid w:val="00F91F86"/>
    <w:rsid w:val="00F935B7"/>
    <w:rsid w:val="00F94A9B"/>
    <w:rsid w:val="00F9667C"/>
    <w:rsid w:val="00FA0913"/>
    <w:rsid w:val="00FB2EED"/>
    <w:rsid w:val="00FB405D"/>
    <w:rsid w:val="00FB5918"/>
    <w:rsid w:val="00FB6D31"/>
    <w:rsid w:val="00FB7EE4"/>
    <w:rsid w:val="00FC18E7"/>
    <w:rsid w:val="00FC22A8"/>
    <w:rsid w:val="00FC4104"/>
    <w:rsid w:val="00FC456D"/>
    <w:rsid w:val="00FC4EC6"/>
    <w:rsid w:val="00FC52FA"/>
    <w:rsid w:val="00FC62CF"/>
    <w:rsid w:val="00FC74A2"/>
    <w:rsid w:val="00FD6A24"/>
    <w:rsid w:val="00FE2124"/>
    <w:rsid w:val="00FF3D4D"/>
    <w:rsid w:val="00FF5439"/>
    <w:rsid w:val="00FF5627"/>
    <w:rsid w:val="00FF73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9B87C79"/>
  <w15:chartTrackingRefBased/>
  <w15:docId w15:val="{91D68AB9-C3AA-44DC-A465-4DEC63F8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E061E"/>
    <w:pPr>
      <w:spacing w:line="288" w:lineRule="auto"/>
      <w:jc w:val="both"/>
    </w:pPr>
    <w:rPr>
      <w:rFonts w:ascii="Arial" w:hAnsi="Arial" w:cs="Arial"/>
      <w:sz w:val="20"/>
      <w:szCs w:val="20"/>
      <w:lang w:eastAsia="en-US"/>
    </w:rPr>
  </w:style>
  <w:style w:type="paragraph" w:styleId="Heading1">
    <w:name w:val="heading 1"/>
    <w:basedOn w:val="Normal"/>
    <w:next w:val="Normal"/>
    <w:link w:val="Heading1Char"/>
    <w:qFormat/>
    <w:rsid w:val="008B0ED6"/>
    <w:pPr>
      <w:keepNext/>
      <w:keepLines/>
      <w:spacing w:before="360" w:after="120" w:line="240" w:lineRule="auto"/>
      <w:jc w:val="left"/>
      <w:outlineLvl w:val="0"/>
    </w:pPr>
    <w:rPr>
      <w:rFonts w:eastAsiaTheme="majorEastAsia"/>
      <w:b/>
      <w:bCs/>
      <w:color w:val="25285F" w:themeColor="text2"/>
      <w:sz w:val="24"/>
      <w:szCs w:val="24"/>
    </w:rPr>
  </w:style>
  <w:style w:type="paragraph" w:styleId="Heading2">
    <w:name w:val="heading 2"/>
    <w:basedOn w:val="Normal"/>
    <w:next w:val="Normal"/>
    <w:link w:val="Heading2Char"/>
    <w:uiPriority w:val="9"/>
    <w:unhideWhenUsed/>
    <w:qFormat/>
    <w:rsid w:val="00E77769"/>
    <w:pPr>
      <w:keepNext/>
      <w:keepLines/>
      <w:spacing w:before="480" w:after="120" w:line="240" w:lineRule="auto"/>
      <w:outlineLvl w:val="1"/>
    </w:pPr>
    <w:rPr>
      <w:rFonts w:eastAsiaTheme="majorEastAsia"/>
      <w:b/>
      <w:bCs/>
      <w:color w:val="25285F" w:themeColor="text2"/>
    </w:rPr>
  </w:style>
  <w:style w:type="paragraph" w:styleId="Heading3">
    <w:name w:val="heading 3"/>
    <w:basedOn w:val="Normal"/>
    <w:next w:val="Normal"/>
    <w:link w:val="Heading3Char"/>
    <w:uiPriority w:val="9"/>
    <w:unhideWhenUsed/>
    <w:rsid w:val="004176C7"/>
    <w:pPr>
      <w:keepNext/>
      <w:keepLines/>
      <w:spacing w:before="40" w:after="0"/>
      <w:outlineLvl w:val="2"/>
    </w:pPr>
    <w:rPr>
      <w:rFonts w:asciiTheme="majorHAnsi" w:eastAsiaTheme="majorEastAsia" w:hAnsiTheme="majorHAnsi" w:cstheme="majorBidi"/>
      <w:color w:val="426AA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D6"/>
    <w:rPr>
      <w:rFonts w:ascii="Arial" w:eastAsiaTheme="majorEastAsia" w:hAnsi="Arial" w:cs="Arial"/>
      <w:b/>
      <w:bCs/>
      <w:color w:val="25285F" w:themeColor="text2"/>
      <w:sz w:val="24"/>
      <w:szCs w:val="24"/>
      <w:lang w:eastAsia="en-US"/>
    </w:rPr>
  </w:style>
  <w:style w:type="character" w:customStyle="1" w:styleId="Heading2Char">
    <w:name w:val="Heading 2 Char"/>
    <w:basedOn w:val="DefaultParagraphFont"/>
    <w:link w:val="Heading2"/>
    <w:uiPriority w:val="9"/>
    <w:rsid w:val="00E77769"/>
    <w:rPr>
      <w:rFonts w:ascii="Arial" w:eastAsiaTheme="majorEastAsia" w:hAnsi="Arial" w:cs="Arial"/>
      <w:b/>
      <w:bCs/>
      <w:color w:val="25285F" w:themeColor="text2"/>
      <w:sz w:val="20"/>
      <w:szCs w:val="20"/>
      <w:lang w:eastAsia="en-US"/>
    </w:rPr>
  </w:style>
  <w:style w:type="character" w:customStyle="1" w:styleId="Heading3Char">
    <w:name w:val="Heading 3 Char"/>
    <w:basedOn w:val="DefaultParagraphFont"/>
    <w:link w:val="Heading3"/>
    <w:uiPriority w:val="9"/>
    <w:rsid w:val="004176C7"/>
    <w:rPr>
      <w:rFonts w:asciiTheme="majorHAnsi" w:eastAsiaTheme="majorEastAsia" w:hAnsiTheme="majorHAnsi" w:cstheme="majorBidi"/>
      <w:color w:val="426AA0" w:themeColor="accent1" w:themeShade="7F"/>
      <w:sz w:val="24"/>
      <w:szCs w:val="24"/>
    </w:rPr>
  </w:style>
  <w:style w:type="paragraph" w:styleId="Title">
    <w:name w:val="Title"/>
    <w:basedOn w:val="Normal"/>
    <w:next w:val="Normal"/>
    <w:link w:val="TitleChar"/>
    <w:uiPriority w:val="10"/>
    <w:qFormat/>
    <w:rsid w:val="00730E69"/>
    <w:pPr>
      <w:spacing w:after="100" w:line="240" w:lineRule="auto"/>
      <w:contextualSpacing/>
      <w:jc w:val="left"/>
    </w:pPr>
    <w:rPr>
      <w:rFonts w:eastAsiaTheme="majorEastAsia"/>
      <w:noProof/>
      <w:color w:val="FFFFFF" w:themeColor="background1"/>
      <w:kern w:val="28"/>
      <w:sz w:val="52"/>
      <w:szCs w:val="52"/>
      <w:lang w:val="en-US"/>
    </w:rPr>
  </w:style>
  <w:style w:type="character" w:customStyle="1" w:styleId="TitleChar">
    <w:name w:val="Title Char"/>
    <w:basedOn w:val="DefaultParagraphFont"/>
    <w:link w:val="Title"/>
    <w:uiPriority w:val="10"/>
    <w:rsid w:val="00730E69"/>
    <w:rPr>
      <w:rFonts w:ascii="Arial" w:eastAsiaTheme="majorEastAsia" w:hAnsi="Arial" w:cs="Arial"/>
      <w:noProof/>
      <w:color w:val="FFFFFF" w:themeColor="background1"/>
      <w:kern w:val="28"/>
      <w:sz w:val="52"/>
      <w:szCs w:val="52"/>
      <w:lang w:val="en-US" w:eastAsia="en-US"/>
    </w:rPr>
  </w:style>
  <w:style w:type="table" w:styleId="TableGrid">
    <w:name w:val="Table Grid"/>
    <w:basedOn w:val="TableNormal"/>
    <w:uiPriority w:val="39"/>
    <w:rsid w:val="00D061F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1FA"/>
    <w:rPr>
      <w:color w:val="FFFFFF" w:themeColor="hyperlink"/>
      <w:u w:val="single"/>
    </w:rPr>
  </w:style>
  <w:style w:type="paragraph" w:styleId="FootnoteText">
    <w:name w:val="footnote text"/>
    <w:basedOn w:val="Normal"/>
    <w:link w:val="FootnoteTextChar"/>
    <w:unhideWhenUsed/>
    <w:rsid w:val="00794A3A"/>
    <w:pPr>
      <w:jc w:val="left"/>
    </w:pPr>
    <w:rPr>
      <w:sz w:val="16"/>
      <w:szCs w:val="16"/>
    </w:rPr>
  </w:style>
  <w:style w:type="character" w:customStyle="1" w:styleId="FootnoteTextChar">
    <w:name w:val="Footnote Text Char"/>
    <w:basedOn w:val="DefaultParagraphFont"/>
    <w:link w:val="FootnoteText"/>
    <w:uiPriority w:val="99"/>
    <w:rsid w:val="00794A3A"/>
    <w:rPr>
      <w:rFonts w:ascii="Arial" w:hAnsi="Arial" w:cs="Arial"/>
      <w:sz w:val="16"/>
      <w:szCs w:val="16"/>
      <w:lang w:eastAsia="en-US"/>
    </w:rPr>
  </w:style>
  <w:style w:type="character" w:styleId="FootnoteReference">
    <w:name w:val="footnote reference"/>
    <w:basedOn w:val="DefaultParagraphFont"/>
    <w:unhideWhenUsed/>
    <w:rsid w:val="00D061FA"/>
    <w:rPr>
      <w:vertAlign w:val="superscript"/>
    </w:rPr>
  </w:style>
  <w:style w:type="paragraph" w:styleId="CommentText">
    <w:name w:val="annotation text"/>
    <w:basedOn w:val="Normal"/>
    <w:link w:val="CommentTextChar"/>
    <w:uiPriority w:val="99"/>
    <w:unhideWhenUsed/>
    <w:rsid w:val="00D061FA"/>
    <w:pPr>
      <w:spacing w:after="0" w:line="240" w:lineRule="auto"/>
    </w:pPr>
    <w:rPr>
      <w:rFonts w:eastAsiaTheme="minorHAnsi"/>
    </w:rPr>
  </w:style>
  <w:style w:type="character" w:customStyle="1" w:styleId="CommentTextChar">
    <w:name w:val="Comment Text Char"/>
    <w:basedOn w:val="DefaultParagraphFont"/>
    <w:link w:val="CommentText"/>
    <w:uiPriority w:val="99"/>
    <w:rsid w:val="00D061FA"/>
    <w:rPr>
      <w:rFonts w:eastAsiaTheme="minorHAnsi"/>
      <w:sz w:val="20"/>
      <w:szCs w:val="20"/>
      <w:lang w:eastAsia="en-US"/>
    </w:rPr>
  </w:style>
  <w:style w:type="paragraph" w:styleId="ListParagraph">
    <w:name w:val="List Paragraph"/>
    <w:basedOn w:val="Bullet"/>
    <w:link w:val="ListParagraphChar"/>
    <w:uiPriority w:val="34"/>
    <w:qFormat/>
    <w:rsid w:val="00020350"/>
    <w:pPr>
      <w:spacing w:before="40"/>
      <w:ind w:left="616" w:hanging="360"/>
    </w:pPr>
    <w:rPr>
      <w:noProof/>
      <w:color w:val="000000" w:themeColor="text1"/>
      <w:kern w:val="28"/>
      <w:lang w:val="en-US"/>
    </w:rPr>
  </w:style>
  <w:style w:type="paragraph" w:customStyle="1" w:styleId="Bullet">
    <w:name w:val="Bullet"/>
    <w:basedOn w:val="Normal"/>
    <w:link w:val="BulletChar"/>
    <w:rsid w:val="001E3B06"/>
    <w:pPr>
      <w:numPr>
        <w:numId w:val="1"/>
      </w:numPr>
      <w:spacing w:after="40" w:line="264" w:lineRule="auto"/>
      <w:ind w:left="319" w:hanging="319"/>
      <w:jc w:val="left"/>
    </w:pPr>
    <w:rPr>
      <w:rFonts w:eastAsiaTheme="minorHAnsi"/>
      <w:bCs/>
    </w:rPr>
  </w:style>
  <w:style w:type="character" w:customStyle="1" w:styleId="BulletChar">
    <w:name w:val="Bullet Char"/>
    <w:basedOn w:val="DefaultParagraphFont"/>
    <w:link w:val="Bullet"/>
    <w:rsid w:val="001E3B06"/>
    <w:rPr>
      <w:rFonts w:ascii="Arial" w:eastAsiaTheme="minorHAnsi" w:hAnsi="Arial" w:cs="Arial"/>
      <w:bCs/>
      <w:sz w:val="20"/>
      <w:szCs w:val="20"/>
      <w:lang w:eastAsia="en-US"/>
    </w:rPr>
  </w:style>
  <w:style w:type="character" w:customStyle="1" w:styleId="ListParagraphChar">
    <w:name w:val="List Paragraph Char"/>
    <w:basedOn w:val="BulletChar"/>
    <w:link w:val="ListParagraph"/>
    <w:uiPriority w:val="1"/>
    <w:rsid w:val="00020350"/>
    <w:rPr>
      <w:rFonts w:ascii="Arial" w:eastAsiaTheme="minorHAnsi" w:hAnsi="Arial" w:cs="Arial"/>
      <w:bCs/>
      <w:noProof/>
      <w:color w:val="000000" w:themeColor="text1"/>
      <w:kern w:val="28"/>
      <w:sz w:val="20"/>
      <w:szCs w:val="20"/>
      <w:lang w:val="en-US" w:eastAsia="en-US"/>
    </w:rPr>
  </w:style>
  <w:style w:type="character" w:styleId="CommentReference">
    <w:name w:val="annotation reference"/>
    <w:basedOn w:val="DefaultParagraphFont"/>
    <w:uiPriority w:val="99"/>
    <w:semiHidden/>
    <w:unhideWhenUsed/>
    <w:rsid w:val="00A015B5"/>
    <w:rPr>
      <w:sz w:val="16"/>
      <w:szCs w:val="16"/>
    </w:rPr>
  </w:style>
  <w:style w:type="paragraph" w:styleId="BalloonText">
    <w:name w:val="Balloon Text"/>
    <w:basedOn w:val="Normal"/>
    <w:link w:val="BalloonTextChar"/>
    <w:uiPriority w:val="99"/>
    <w:semiHidden/>
    <w:unhideWhenUsed/>
    <w:rsid w:val="00A015B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015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64C1"/>
    <w:pPr>
      <w:spacing w:after="160"/>
    </w:pPr>
    <w:rPr>
      <w:rFonts w:eastAsiaTheme="minorEastAsia"/>
      <w:b/>
      <w:bCs/>
      <w:lang w:eastAsia="zh-CN"/>
    </w:rPr>
  </w:style>
  <w:style w:type="character" w:customStyle="1" w:styleId="CommentSubjectChar">
    <w:name w:val="Comment Subject Char"/>
    <w:basedOn w:val="CommentTextChar"/>
    <w:link w:val="CommentSubject"/>
    <w:uiPriority w:val="99"/>
    <w:semiHidden/>
    <w:rsid w:val="00A864C1"/>
    <w:rPr>
      <w:rFonts w:eastAsiaTheme="minorHAnsi"/>
      <w:b/>
      <w:bCs/>
      <w:sz w:val="20"/>
      <w:szCs w:val="20"/>
      <w:lang w:eastAsia="en-US"/>
    </w:rPr>
  </w:style>
  <w:style w:type="paragraph" w:styleId="Footer">
    <w:name w:val="footer"/>
    <w:basedOn w:val="Normal"/>
    <w:link w:val="FooterChar"/>
    <w:uiPriority w:val="99"/>
    <w:unhideWhenUsed/>
    <w:rsid w:val="00A25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490"/>
  </w:style>
  <w:style w:type="character" w:styleId="PageNumber">
    <w:name w:val="page number"/>
    <w:basedOn w:val="DefaultParagraphFont"/>
    <w:uiPriority w:val="99"/>
    <w:semiHidden/>
    <w:unhideWhenUsed/>
    <w:rsid w:val="00A25490"/>
  </w:style>
  <w:style w:type="paragraph" w:styleId="Revision">
    <w:name w:val="Revision"/>
    <w:hidden/>
    <w:uiPriority w:val="99"/>
    <w:semiHidden/>
    <w:rsid w:val="00A25490"/>
    <w:pPr>
      <w:spacing w:after="0" w:line="240" w:lineRule="auto"/>
    </w:pPr>
  </w:style>
  <w:style w:type="character" w:customStyle="1" w:styleId="UnresolvedMention1">
    <w:name w:val="Unresolved Mention1"/>
    <w:basedOn w:val="DefaultParagraphFont"/>
    <w:uiPriority w:val="99"/>
    <w:semiHidden/>
    <w:unhideWhenUsed/>
    <w:rsid w:val="00EF4BF3"/>
    <w:rPr>
      <w:color w:val="605E5C"/>
      <w:shd w:val="clear" w:color="auto" w:fill="E1DFDD"/>
    </w:rPr>
  </w:style>
  <w:style w:type="paragraph" w:styleId="NormalWeb">
    <w:name w:val="Normal (Web)"/>
    <w:basedOn w:val="Normal"/>
    <w:uiPriority w:val="99"/>
    <w:unhideWhenUsed/>
    <w:rsid w:val="00616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65D3"/>
  </w:style>
  <w:style w:type="character" w:styleId="FollowedHyperlink">
    <w:name w:val="FollowedHyperlink"/>
    <w:basedOn w:val="DefaultParagraphFont"/>
    <w:uiPriority w:val="99"/>
    <w:semiHidden/>
    <w:unhideWhenUsed/>
    <w:rsid w:val="00F75D16"/>
    <w:rPr>
      <w:color w:val="FFFFFF" w:themeColor="followedHyperlink"/>
      <w:u w:val="single"/>
    </w:rPr>
  </w:style>
  <w:style w:type="paragraph" w:styleId="Header">
    <w:name w:val="header"/>
    <w:basedOn w:val="Normal"/>
    <w:link w:val="HeaderChar"/>
    <w:uiPriority w:val="99"/>
    <w:unhideWhenUsed/>
    <w:rsid w:val="00B70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E8"/>
  </w:style>
  <w:style w:type="paragraph" w:styleId="Subtitle">
    <w:name w:val="Subtitle"/>
    <w:basedOn w:val="Title"/>
    <w:next w:val="Normal"/>
    <w:link w:val="SubtitleChar"/>
    <w:uiPriority w:val="11"/>
    <w:qFormat/>
    <w:rsid w:val="00730E69"/>
    <w:pPr>
      <w:spacing w:after="1200"/>
    </w:pPr>
    <w:rPr>
      <w:color w:val="DDD9CF" w:themeColor="accent2" w:themeShade="E6"/>
      <w:sz w:val="40"/>
      <w:szCs w:val="40"/>
    </w:rPr>
  </w:style>
  <w:style w:type="character" w:customStyle="1" w:styleId="SubtitleChar">
    <w:name w:val="Subtitle Char"/>
    <w:basedOn w:val="DefaultParagraphFont"/>
    <w:link w:val="Subtitle"/>
    <w:uiPriority w:val="11"/>
    <w:rsid w:val="00730E69"/>
    <w:rPr>
      <w:rFonts w:ascii="Arial" w:eastAsiaTheme="majorEastAsia" w:hAnsi="Arial" w:cs="Arial"/>
      <w:noProof/>
      <w:color w:val="DDD9CF" w:themeColor="accent2" w:themeShade="E6"/>
      <w:kern w:val="28"/>
      <w:sz w:val="40"/>
      <w:szCs w:val="40"/>
      <w:lang w:val="en-US" w:eastAsia="en-US"/>
    </w:rPr>
  </w:style>
  <w:style w:type="paragraph" w:customStyle="1" w:styleId="Figure">
    <w:name w:val="Figure"/>
    <w:basedOn w:val="Normal"/>
    <w:link w:val="FigureChar"/>
    <w:qFormat/>
    <w:rsid w:val="002C765A"/>
    <w:pPr>
      <w:spacing w:before="480" w:after="80"/>
      <w:jc w:val="left"/>
    </w:pPr>
    <w:rPr>
      <w:color w:val="25285F" w:themeColor="text2"/>
      <w:sz w:val="24"/>
      <w:szCs w:val="24"/>
    </w:rPr>
  </w:style>
  <w:style w:type="character" w:customStyle="1" w:styleId="FigureChar">
    <w:name w:val="Figure Char"/>
    <w:basedOn w:val="DefaultParagraphFont"/>
    <w:link w:val="Figure"/>
    <w:rsid w:val="002C765A"/>
    <w:rPr>
      <w:rFonts w:ascii="Arial" w:hAnsi="Arial" w:cs="Arial"/>
      <w:color w:val="25285F" w:themeColor="text2"/>
      <w:sz w:val="24"/>
      <w:szCs w:val="24"/>
    </w:rPr>
  </w:style>
  <w:style w:type="paragraph" w:customStyle="1" w:styleId="Intro">
    <w:name w:val="Intro"/>
    <w:basedOn w:val="Normal"/>
    <w:link w:val="IntroChar"/>
    <w:rsid w:val="007D323A"/>
    <w:pPr>
      <w:spacing w:after="480" w:line="276" w:lineRule="auto"/>
    </w:pPr>
  </w:style>
  <w:style w:type="character" w:customStyle="1" w:styleId="IntroChar">
    <w:name w:val="Intro Char"/>
    <w:basedOn w:val="DefaultParagraphFont"/>
    <w:link w:val="Intro"/>
    <w:rsid w:val="007D323A"/>
    <w:rPr>
      <w:rFonts w:ascii="Arial" w:hAnsi="Arial" w:cs="Arial"/>
      <w:sz w:val="18"/>
      <w:szCs w:val="18"/>
    </w:rPr>
  </w:style>
  <w:style w:type="paragraph" w:customStyle="1" w:styleId="Introduction">
    <w:name w:val="Introduction"/>
    <w:basedOn w:val="Normal"/>
    <w:link w:val="IntroductionChar"/>
    <w:qFormat/>
    <w:rsid w:val="00D153CE"/>
    <w:pPr>
      <w:spacing w:after="480" w:line="276" w:lineRule="auto"/>
    </w:pPr>
    <w:rPr>
      <w:color w:val="25285F" w:themeColor="text2"/>
    </w:rPr>
  </w:style>
  <w:style w:type="character" w:customStyle="1" w:styleId="IntroductionChar">
    <w:name w:val="Introduction Char"/>
    <w:basedOn w:val="DefaultParagraphFont"/>
    <w:link w:val="Introduction"/>
    <w:rsid w:val="00D153CE"/>
    <w:rPr>
      <w:rFonts w:ascii="Arial" w:hAnsi="Arial" w:cs="Arial"/>
      <w:color w:val="25285F" w:themeColor="text2"/>
      <w:sz w:val="20"/>
      <w:szCs w:val="20"/>
      <w:lang w:eastAsia="en-US"/>
    </w:rPr>
  </w:style>
  <w:style w:type="paragraph" w:customStyle="1" w:styleId="STANDARDSBOARD">
    <w:name w:val="STANDARDS BOARD"/>
    <w:basedOn w:val="Title"/>
    <w:link w:val="STANDARDSBOARDChar"/>
    <w:qFormat/>
    <w:rsid w:val="00730E69"/>
    <w:pPr>
      <w:spacing w:after="280"/>
      <w:contextualSpacing w:val="0"/>
    </w:pPr>
    <w:rPr>
      <w:sz w:val="20"/>
      <w:szCs w:val="20"/>
    </w:rPr>
  </w:style>
  <w:style w:type="character" w:customStyle="1" w:styleId="STANDARDSBOARDChar">
    <w:name w:val="STANDARDS BOARD Char"/>
    <w:basedOn w:val="TitleChar"/>
    <w:link w:val="STANDARDSBOARD"/>
    <w:rsid w:val="00730E69"/>
    <w:rPr>
      <w:rFonts w:ascii="Arial" w:eastAsiaTheme="majorEastAsia" w:hAnsi="Arial" w:cs="Arial"/>
      <w:noProof/>
      <w:color w:val="FFFFFF" w:themeColor="background1"/>
      <w:kern w:val="28"/>
      <w:sz w:val="20"/>
      <w:szCs w:val="20"/>
      <w:lang w:val="en-US" w:eastAsia="en-US"/>
    </w:rPr>
  </w:style>
  <w:style w:type="paragraph" w:customStyle="1" w:styleId="Tabletext">
    <w:name w:val="Table text"/>
    <w:basedOn w:val="Bullet"/>
    <w:link w:val="TabletextChar"/>
    <w:qFormat/>
    <w:rsid w:val="00B432F0"/>
    <w:pPr>
      <w:numPr>
        <w:numId w:val="0"/>
      </w:numPr>
      <w:spacing w:before="40"/>
    </w:pPr>
    <w:rPr>
      <w:bCs w:val="0"/>
      <w:noProof/>
      <w:color w:val="000000" w:themeColor="text1"/>
      <w:kern w:val="28"/>
      <w:lang w:val="en-US"/>
    </w:rPr>
  </w:style>
  <w:style w:type="character" w:customStyle="1" w:styleId="TabletextChar">
    <w:name w:val="Table text Char"/>
    <w:basedOn w:val="BulletChar"/>
    <w:link w:val="Tabletext"/>
    <w:rsid w:val="00B432F0"/>
    <w:rPr>
      <w:rFonts w:ascii="Arial" w:eastAsiaTheme="minorHAnsi" w:hAnsi="Arial" w:cs="Arial"/>
      <w:bCs w:val="0"/>
      <w:noProof/>
      <w:color w:val="000000" w:themeColor="text1"/>
      <w:kern w:val="28"/>
      <w:sz w:val="20"/>
      <w:szCs w:val="20"/>
      <w:lang w:val="en-US" w:eastAsia="en-US"/>
    </w:rPr>
  </w:style>
  <w:style w:type="paragraph" w:customStyle="1" w:styleId="Listpara2ndlevel">
    <w:name w:val="List para 2nd level"/>
    <w:basedOn w:val="ListParagraph"/>
    <w:link w:val="Listpara2ndlevelChar"/>
    <w:qFormat/>
    <w:rsid w:val="00FC22A8"/>
    <w:pPr>
      <w:numPr>
        <w:ilvl w:val="1"/>
        <w:numId w:val="2"/>
      </w:numPr>
      <w:ind w:left="568" w:hanging="284"/>
    </w:pPr>
  </w:style>
  <w:style w:type="character" w:customStyle="1" w:styleId="Listpara2ndlevelChar">
    <w:name w:val="List para 2nd level Char"/>
    <w:basedOn w:val="ListParagraphChar"/>
    <w:link w:val="Listpara2ndlevel"/>
    <w:rsid w:val="00FC22A8"/>
    <w:rPr>
      <w:rFonts w:ascii="Arial" w:eastAsiaTheme="minorHAnsi" w:hAnsi="Arial" w:cs="Arial"/>
      <w:bCs/>
      <w:noProof/>
      <w:color w:val="000000" w:themeColor="text1"/>
      <w:kern w:val="28"/>
      <w:sz w:val="20"/>
      <w:szCs w:val="20"/>
      <w:lang w:val="en-US" w:eastAsia="en-US"/>
    </w:rPr>
  </w:style>
  <w:style w:type="paragraph" w:customStyle="1" w:styleId="Listpara3">
    <w:name w:val="List para 3"/>
    <w:basedOn w:val="Listpara2ndlevel"/>
    <w:link w:val="Listpara3Char"/>
    <w:qFormat/>
    <w:rsid w:val="00FC22A8"/>
    <w:pPr>
      <w:ind w:left="851"/>
    </w:pPr>
  </w:style>
  <w:style w:type="character" w:customStyle="1" w:styleId="Listpara3Char">
    <w:name w:val="List para 3 Char"/>
    <w:basedOn w:val="Listpara2ndlevelChar"/>
    <w:link w:val="Listpara3"/>
    <w:rsid w:val="00FC22A8"/>
    <w:rPr>
      <w:rFonts w:ascii="Arial" w:eastAsiaTheme="minorHAnsi" w:hAnsi="Arial" w:cs="Arial"/>
      <w:bCs/>
      <w:noProof/>
      <w:color w:val="000000" w:themeColor="text1"/>
      <w:kern w:val="28"/>
      <w:sz w:val="20"/>
      <w:szCs w:val="20"/>
      <w:lang w:val="en-US" w:eastAsia="en-US"/>
    </w:rPr>
  </w:style>
  <w:style w:type="paragraph" w:customStyle="1" w:styleId="TableAlbourne">
    <w:name w:val="*Table Albourne"/>
    <w:link w:val="TableAlbourneChar"/>
    <w:rsid w:val="009B2D5F"/>
    <w:pPr>
      <w:spacing w:before="60" w:after="60" w:line="240" w:lineRule="auto"/>
      <w:ind w:left="57" w:right="57"/>
      <w:jc w:val="both"/>
    </w:pPr>
    <w:rPr>
      <w:rFonts w:eastAsia="Calibri" w:cstheme="minorHAnsi"/>
      <w:bCs/>
      <w:sz w:val="18"/>
      <w:szCs w:val="20"/>
      <w:lang w:eastAsia="en-GB"/>
    </w:rPr>
  </w:style>
  <w:style w:type="character" w:customStyle="1" w:styleId="TableAlbourneChar">
    <w:name w:val="*Table Albourne Char"/>
    <w:basedOn w:val="DefaultParagraphFont"/>
    <w:link w:val="TableAlbourne"/>
    <w:rsid w:val="009B2D5F"/>
    <w:rPr>
      <w:rFonts w:eastAsia="Calibri" w:cstheme="minorHAnsi"/>
      <w:bCs/>
      <w:sz w:val="18"/>
      <w:szCs w:val="20"/>
      <w:lang w:eastAsia="en-GB"/>
    </w:rPr>
  </w:style>
  <w:style w:type="paragraph" w:customStyle="1" w:styleId="TextmainAlbourne">
    <w:name w:val="*Text (main) Albourne"/>
    <w:basedOn w:val="Normal"/>
    <w:link w:val="TextmainAlbourneChar"/>
    <w:rsid w:val="009B2D5F"/>
    <w:pPr>
      <w:spacing w:before="60" w:after="60"/>
    </w:pPr>
    <w:rPr>
      <w:rFonts w:eastAsia="Times New Roman"/>
      <w:color w:val="1B1D47" w:themeColor="text2" w:themeShade="BF"/>
      <w:shd w:val="clear" w:color="auto" w:fill="FFFFFF"/>
      <w:lang w:eastAsia="en-GB"/>
    </w:rPr>
  </w:style>
  <w:style w:type="character" w:customStyle="1" w:styleId="TextmainAlbourneChar">
    <w:name w:val="*Text (main) Albourne Char"/>
    <w:basedOn w:val="DefaultParagraphFont"/>
    <w:link w:val="TextmainAlbourne"/>
    <w:rsid w:val="009B2D5F"/>
    <w:rPr>
      <w:rFonts w:ascii="Arial" w:eastAsia="Times New Roman" w:hAnsi="Arial" w:cs="Arial"/>
      <w:color w:val="1B1D47" w:themeColor="text2" w:themeShade="BF"/>
      <w:sz w:val="20"/>
      <w:szCs w:val="20"/>
      <w:lang w:eastAsia="en-GB"/>
    </w:rPr>
  </w:style>
  <w:style w:type="paragraph" w:customStyle="1" w:styleId="DisclaimerAlbourne">
    <w:name w:val="*Disclaimer Albourne"/>
    <w:basedOn w:val="Normal"/>
    <w:link w:val="DisclaimerAlbourneChar"/>
    <w:rsid w:val="009B2D5F"/>
    <w:pPr>
      <w:shd w:val="clear" w:color="auto" w:fill="FFFFFF"/>
      <w:spacing w:after="0" w:line="252" w:lineRule="auto"/>
    </w:pPr>
    <w:rPr>
      <w:rFonts w:eastAsia="MS Mincho"/>
      <w:iCs/>
      <w:color w:val="333333"/>
      <w:sz w:val="16"/>
      <w:szCs w:val="16"/>
      <w:lang w:val="en-US" w:eastAsia="en-GB"/>
    </w:rPr>
  </w:style>
  <w:style w:type="character" w:customStyle="1" w:styleId="DisclaimerAlbourneChar">
    <w:name w:val="*Disclaimer Albourne Char"/>
    <w:basedOn w:val="DefaultParagraphFont"/>
    <w:link w:val="DisclaimerAlbourne"/>
    <w:rsid w:val="009B2D5F"/>
    <w:rPr>
      <w:rFonts w:ascii="Arial" w:eastAsia="MS Mincho" w:hAnsi="Arial" w:cs="Arial"/>
      <w:iCs/>
      <w:color w:val="333333"/>
      <w:sz w:val="16"/>
      <w:szCs w:val="16"/>
      <w:shd w:val="clear" w:color="auto" w:fill="FFFFFF"/>
      <w:lang w:val="en-US" w:eastAsia="en-GB"/>
    </w:rPr>
  </w:style>
  <w:style w:type="table" w:customStyle="1" w:styleId="TableGridLight1">
    <w:name w:val="Table Grid Light1"/>
    <w:basedOn w:val="TableNormal"/>
    <w:uiPriority w:val="40"/>
    <w:rsid w:val="009B2D5F"/>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9B2D5F"/>
    <w:rPr>
      <w:b/>
      <w:bCs/>
      <w:i w:val="0"/>
      <w:iCs w:val="0"/>
    </w:rPr>
  </w:style>
  <w:style w:type="character" w:customStyle="1" w:styleId="st1">
    <w:name w:val="st1"/>
    <w:basedOn w:val="DefaultParagraphFont"/>
    <w:rsid w:val="009B2D5F"/>
  </w:style>
  <w:style w:type="paragraph" w:styleId="EndnoteText">
    <w:name w:val="endnote text"/>
    <w:basedOn w:val="Normal"/>
    <w:link w:val="EndnoteTextChar"/>
    <w:uiPriority w:val="99"/>
    <w:semiHidden/>
    <w:unhideWhenUsed/>
    <w:rsid w:val="006B275A"/>
    <w:pPr>
      <w:spacing w:after="0" w:line="240" w:lineRule="auto"/>
    </w:pPr>
  </w:style>
  <w:style w:type="character" w:customStyle="1" w:styleId="EndnoteTextChar">
    <w:name w:val="Endnote Text Char"/>
    <w:basedOn w:val="DefaultParagraphFont"/>
    <w:link w:val="EndnoteText"/>
    <w:uiPriority w:val="99"/>
    <w:semiHidden/>
    <w:rsid w:val="006B275A"/>
    <w:rPr>
      <w:rFonts w:ascii="Arial" w:hAnsi="Arial" w:cs="Arial"/>
      <w:sz w:val="20"/>
      <w:szCs w:val="20"/>
      <w:lang w:eastAsia="en-US"/>
    </w:rPr>
  </w:style>
  <w:style w:type="character" w:styleId="EndnoteReference">
    <w:name w:val="endnote reference"/>
    <w:basedOn w:val="DefaultParagraphFont"/>
    <w:uiPriority w:val="99"/>
    <w:semiHidden/>
    <w:unhideWhenUsed/>
    <w:rsid w:val="006B275A"/>
    <w:rPr>
      <w:vertAlign w:val="superscript"/>
    </w:rPr>
  </w:style>
  <w:style w:type="paragraph" w:styleId="BodyText">
    <w:name w:val="Body Text"/>
    <w:basedOn w:val="Normal"/>
    <w:link w:val="BodyTextChar"/>
    <w:rsid w:val="00754A44"/>
    <w:pPr>
      <w:tabs>
        <w:tab w:val="left" w:pos="709"/>
        <w:tab w:val="left" w:pos="1559"/>
        <w:tab w:val="left" w:pos="2268"/>
        <w:tab w:val="left" w:pos="2977"/>
        <w:tab w:val="left" w:pos="3686"/>
        <w:tab w:val="left" w:pos="4394"/>
        <w:tab w:val="right" w:pos="8789"/>
      </w:tabs>
      <w:spacing w:before="100" w:after="100" w:line="240" w:lineRule="auto"/>
      <w:jc w:val="left"/>
    </w:pPr>
    <w:rPr>
      <w:rFonts w:asciiTheme="minorHAnsi" w:eastAsia="SimSun" w:hAnsiTheme="minorHAnsi" w:cs="Times New Roman"/>
      <w:sz w:val="22"/>
      <w:lang w:eastAsia="en-GB"/>
    </w:rPr>
  </w:style>
  <w:style w:type="character" w:customStyle="1" w:styleId="BodyTextChar">
    <w:name w:val="Body Text Char"/>
    <w:basedOn w:val="DefaultParagraphFont"/>
    <w:link w:val="BodyText"/>
    <w:rsid w:val="00754A44"/>
    <w:rPr>
      <w:rFonts w:eastAsia="SimSun" w:cs="Times New Roman"/>
      <w:szCs w:val="20"/>
      <w:lang w:eastAsia="en-GB"/>
    </w:rPr>
  </w:style>
  <w:style w:type="paragraph" w:customStyle="1" w:styleId="Numbered">
    <w:name w:val="Numbered"/>
    <w:basedOn w:val="ListParagraph"/>
    <w:link w:val="NumberedChar"/>
    <w:qFormat/>
    <w:rsid w:val="00754A44"/>
    <w:pPr>
      <w:numPr>
        <w:numId w:val="3"/>
      </w:numPr>
    </w:pPr>
  </w:style>
  <w:style w:type="paragraph" w:customStyle="1" w:styleId="Para2">
    <w:name w:val="Para 2"/>
    <w:basedOn w:val="Heading2"/>
    <w:qFormat/>
    <w:rsid w:val="00241FEB"/>
    <w:pPr>
      <w:keepNext w:val="0"/>
      <w:keepLines w:val="0"/>
      <w:numPr>
        <w:ilvl w:val="1"/>
      </w:numPr>
      <w:tabs>
        <w:tab w:val="left" w:pos="1559"/>
        <w:tab w:val="left" w:pos="2268"/>
        <w:tab w:val="left" w:pos="2977"/>
        <w:tab w:val="left" w:pos="3686"/>
        <w:tab w:val="left" w:pos="4394"/>
        <w:tab w:val="right" w:pos="8789"/>
      </w:tabs>
      <w:spacing w:before="100" w:after="100"/>
      <w:ind w:left="709" w:hanging="709"/>
      <w:jc w:val="left"/>
    </w:pPr>
    <w:rPr>
      <w:rFonts w:eastAsia="SimSun" w:cs="Times New Roman"/>
      <w:b w:val="0"/>
      <w:bCs w:val="0"/>
      <w:color w:val="auto"/>
      <w:lang w:eastAsia="en-GB"/>
    </w:rPr>
  </w:style>
  <w:style w:type="character" w:customStyle="1" w:styleId="NumberedChar">
    <w:name w:val="Numbered Char"/>
    <w:basedOn w:val="ListParagraphChar"/>
    <w:link w:val="Numbered"/>
    <w:rsid w:val="00754A44"/>
    <w:rPr>
      <w:rFonts w:ascii="Arial" w:eastAsiaTheme="minorHAnsi" w:hAnsi="Arial" w:cs="Arial"/>
      <w:bCs/>
      <w:noProof/>
      <w:color w:val="000000" w:themeColor="text1"/>
      <w:kern w:val="28"/>
      <w:sz w:val="20"/>
      <w:szCs w:val="20"/>
      <w:lang w:val="en-US" w:eastAsia="en-US"/>
    </w:rPr>
  </w:style>
  <w:style w:type="paragraph" w:styleId="BodyText3">
    <w:name w:val="Body Text 3"/>
    <w:basedOn w:val="Normal"/>
    <w:link w:val="BodyText3Char"/>
    <w:uiPriority w:val="99"/>
    <w:semiHidden/>
    <w:unhideWhenUsed/>
    <w:rsid w:val="00417482"/>
    <w:pPr>
      <w:spacing w:after="120" w:line="259" w:lineRule="auto"/>
      <w:jc w:val="left"/>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417482"/>
    <w:rPr>
      <w:rFonts w:eastAsiaTheme="minorHAnsi"/>
      <w:sz w:val="16"/>
      <w:szCs w:val="16"/>
      <w:lang w:eastAsia="en-US"/>
    </w:rPr>
  </w:style>
  <w:style w:type="paragraph" w:customStyle="1" w:styleId="BodyText1">
    <w:name w:val="Body Text 1"/>
    <w:basedOn w:val="BodyText"/>
    <w:rsid w:val="00620254"/>
    <w:pPr>
      <w:ind w:left="709"/>
    </w:pPr>
    <w:rPr>
      <w:rFonts w:ascii="Arial" w:hAnsi="Arial"/>
      <w:sz w:val="20"/>
    </w:rPr>
  </w:style>
  <w:style w:type="character" w:styleId="UnresolvedMention">
    <w:name w:val="Unresolved Mention"/>
    <w:basedOn w:val="DefaultParagraphFont"/>
    <w:uiPriority w:val="99"/>
    <w:semiHidden/>
    <w:unhideWhenUsed/>
    <w:rsid w:val="00127BB2"/>
    <w:rPr>
      <w:color w:val="605E5C"/>
      <w:shd w:val="clear" w:color="auto" w:fill="E1DFDD"/>
    </w:rPr>
  </w:style>
  <w:style w:type="paragraph" w:customStyle="1" w:styleId="TableParagraph">
    <w:name w:val="Table Paragraph"/>
    <w:basedOn w:val="Normal"/>
    <w:uiPriority w:val="1"/>
    <w:qFormat/>
    <w:rsid w:val="00A0056B"/>
    <w:pPr>
      <w:widowControl w:val="0"/>
      <w:autoSpaceDE w:val="0"/>
      <w:autoSpaceDN w:val="0"/>
      <w:spacing w:after="0" w:line="240" w:lineRule="auto"/>
      <w:jc w:val="left"/>
    </w:pPr>
    <w:rPr>
      <w:rFonts w:ascii="Calibri" w:eastAsia="Calibri" w:hAnsi="Calibri" w:cs="Calibri"/>
      <w:sz w:val="22"/>
      <w:szCs w:val="22"/>
      <w:lang w:eastAsia="en-GB" w:bidi="en-GB"/>
    </w:rPr>
  </w:style>
  <w:style w:type="paragraph" w:styleId="BodyTextIndent">
    <w:name w:val="Body Text Indent"/>
    <w:basedOn w:val="Normal"/>
    <w:link w:val="BodyTextIndentChar"/>
    <w:uiPriority w:val="99"/>
    <w:semiHidden/>
    <w:unhideWhenUsed/>
    <w:rsid w:val="00F94A9B"/>
    <w:pPr>
      <w:spacing w:after="120"/>
      <w:ind w:left="283"/>
    </w:pPr>
  </w:style>
  <w:style w:type="character" w:customStyle="1" w:styleId="BodyTextIndentChar">
    <w:name w:val="Body Text Indent Char"/>
    <w:basedOn w:val="DefaultParagraphFont"/>
    <w:link w:val="BodyTextIndent"/>
    <w:uiPriority w:val="99"/>
    <w:semiHidden/>
    <w:rsid w:val="00F94A9B"/>
    <w:rPr>
      <w:rFonts w:ascii="Arial" w:hAnsi="Arial" w:cs="Arial"/>
      <w:sz w:val="20"/>
      <w:szCs w:val="20"/>
      <w:lang w:eastAsia="en-US"/>
    </w:rPr>
  </w:style>
  <w:style w:type="paragraph" w:customStyle="1" w:styleId="TableBullet1">
    <w:name w:val="Table Bullet 1"/>
    <w:basedOn w:val="Normal"/>
    <w:rsid w:val="00F94A9B"/>
    <w:pPr>
      <w:numPr>
        <w:ilvl w:val="4"/>
        <w:numId w:val="10"/>
      </w:numPr>
      <w:spacing w:before="40" w:after="40" w:line="276" w:lineRule="auto"/>
      <w:jc w:val="left"/>
      <w:outlineLvl w:val="4"/>
    </w:pPr>
    <w:rPr>
      <w:szCs w:val="22"/>
      <w:lang w:val="en-US" w:bidi="en-US"/>
    </w:rPr>
  </w:style>
  <w:style w:type="paragraph" w:customStyle="1" w:styleId="TableBullet2">
    <w:name w:val="Table Bullet 2"/>
    <w:basedOn w:val="Normal"/>
    <w:rsid w:val="00F94A9B"/>
    <w:pPr>
      <w:numPr>
        <w:ilvl w:val="5"/>
        <w:numId w:val="10"/>
      </w:numPr>
      <w:spacing w:before="40" w:after="40" w:line="276" w:lineRule="auto"/>
      <w:jc w:val="left"/>
      <w:outlineLvl w:val="5"/>
    </w:pPr>
    <w:rPr>
      <w:szCs w:val="22"/>
      <w:lang w:val="en-US" w:bidi="en-US"/>
    </w:rPr>
  </w:style>
  <w:style w:type="paragraph" w:customStyle="1" w:styleId="TableBullet3">
    <w:name w:val="Table Bullet 3"/>
    <w:basedOn w:val="Normal"/>
    <w:rsid w:val="00F94A9B"/>
    <w:pPr>
      <w:numPr>
        <w:ilvl w:val="6"/>
        <w:numId w:val="10"/>
      </w:numPr>
      <w:spacing w:before="40" w:after="40" w:line="276" w:lineRule="auto"/>
      <w:jc w:val="left"/>
      <w:outlineLvl w:val="6"/>
    </w:pPr>
    <w:rPr>
      <w:szCs w:val="22"/>
      <w:lang w:val="en-US" w:bidi="en-US"/>
    </w:rPr>
  </w:style>
  <w:style w:type="paragraph" w:customStyle="1" w:styleId="TableBullet4">
    <w:name w:val="Table Bullet 4"/>
    <w:basedOn w:val="Normal"/>
    <w:rsid w:val="00F94A9B"/>
    <w:pPr>
      <w:numPr>
        <w:ilvl w:val="7"/>
        <w:numId w:val="10"/>
      </w:numPr>
      <w:spacing w:before="40" w:after="40" w:line="276" w:lineRule="auto"/>
      <w:jc w:val="left"/>
      <w:outlineLvl w:val="7"/>
    </w:pPr>
    <w:rPr>
      <w:szCs w:val="22"/>
      <w:lang w:val="en-US" w:bidi="en-US"/>
    </w:rPr>
  </w:style>
  <w:style w:type="paragraph" w:customStyle="1" w:styleId="Illustration">
    <w:name w:val="Illustration"/>
    <w:basedOn w:val="Heading3"/>
    <w:next w:val="Normal"/>
    <w:rsid w:val="00F94A9B"/>
    <w:pPr>
      <w:spacing w:before="200" w:line="276" w:lineRule="auto"/>
      <w:jc w:val="left"/>
    </w:pPr>
    <w:rPr>
      <w:rFonts w:ascii="Arial" w:hAnsi="Arial"/>
      <w:b/>
      <w:bCs/>
      <w:color w:val="D8E2EF" w:themeColor="accent1"/>
      <w:sz w:val="22"/>
      <w:szCs w:val="22"/>
      <w:lang w:bidi="en-US"/>
    </w:rPr>
  </w:style>
  <w:style w:type="paragraph" w:styleId="ListBullet">
    <w:name w:val="List Bullet"/>
    <w:basedOn w:val="Normal"/>
    <w:rsid w:val="00837087"/>
    <w:pPr>
      <w:numPr>
        <w:ilvl w:val="4"/>
        <w:numId w:val="13"/>
      </w:numPr>
      <w:spacing w:after="200" w:line="276" w:lineRule="auto"/>
      <w:jc w:val="left"/>
      <w:outlineLvl w:val="4"/>
    </w:pPr>
    <w:rPr>
      <w:rFonts w:asciiTheme="minorHAnsi" w:hAnsiTheme="minorHAnsi" w:cstheme="minorBidi"/>
      <w:sz w:val="22"/>
      <w:szCs w:val="22"/>
      <w:lang w:val="en-US" w:bidi="en-US"/>
    </w:rPr>
  </w:style>
  <w:style w:type="paragraph" w:styleId="ListBullet2">
    <w:name w:val="List Bullet 2"/>
    <w:basedOn w:val="Normal"/>
    <w:rsid w:val="00837087"/>
    <w:pPr>
      <w:numPr>
        <w:ilvl w:val="5"/>
        <w:numId w:val="13"/>
      </w:numPr>
      <w:spacing w:after="200" w:line="276" w:lineRule="auto"/>
      <w:jc w:val="left"/>
      <w:outlineLvl w:val="5"/>
    </w:pPr>
    <w:rPr>
      <w:rFonts w:asciiTheme="minorHAnsi" w:hAnsiTheme="minorHAnsi" w:cstheme="minorBidi"/>
      <w:sz w:val="22"/>
      <w:szCs w:val="22"/>
      <w:lang w:val="en-US" w:bidi="en-US"/>
    </w:rPr>
  </w:style>
  <w:style w:type="paragraph" w:styleId="ListBullet3">
    <w:name w:val="List Bullet 3"/>
    <w:basedOn w:val="Normal"/>
    <w:rsid w:val="00837087"/>
    <w:pPr>
      <w:numPr>
        <w:ilvl w:val="6"/>
        <w:numId w:val="13"/>
      </w:numPr>
      <w:spacing w:after="200" w:line="276" w:lineRule="auto"/>
      <w:jc w:val="left"/>
      <w:outlineLvl w:val="6"/>
    </w:pPr>
    <w:rPr>
      <w:rFonts w:asciiTheme="minorHAnsi" w:hAnsiTheme="minorHAnsi" w:cstheme="minorBidi"/>
      <w:sz w:val="22"/>
      <w:szCs w:val="22"/>
      <w:lang w:val="en-US" w:bidi="en-US"/>
    </w:rPr>
  </w:style>
  <w:style w:type="paragraph" w:styleId="ListBullet4">
    <w:name w:val="List Bullet 4"/>
    <w:basedOn w:val="Normal"/>
    <w:rsid w:val="00837087"/>
    <w:pPr>
      <w:numPr>
        <w:ilvl w:val="7"/>
        <w:numId w:val="13"/>
      </w:numPr>
      <w:spacing w:after="200" w:line="276" w:lineRule="auto"/>
      <w:jc w:val="left"/>
      <w:outlineLvl w:val="7"/>
    </w:pPr>
    <w:rPr>
      <w:rFonts w:asciiTheme="minorHAnsi" w:hAnsiTheme="minorHAnsi" w:cstheme="minorBidi"/>
      <w:sz w:val="22"/>
      <w:szCs w:val="22"/>
      <w:lang w:val="en-US" w:bidi="en-US"/>
    </w:rPr>
  </w:style>
  <w:style w:type="paragraph" w:customStyle="1" w:styleId="Notes">
    <w:name w:val="Notes"/>
    <w:basedOn w:val="Normal"/>
    <w:next w:val="Normal"/>
    <w:rsid w:val="00837087"/>
    <w:pPr>
      <w:spacing w:before="60" w:after="60" w:line="276" w:lineRule="auto"/>
      <w:jc w:val="left"/>
    </w:pPr>
    <w:rPr>
      <w:rFonts w:asciiTheme="minorHAnsi" w:hAnsiTheme="minorHAnsi" w:cstheme="minorBidi"/>
      <w:sz w:val="16"/>
      <w:szCs w:val="22"/>
      <w:lang w:bidi="en-US"/>
    </w:rPr>
  </w:style>
  <w:style w:type="paragraph" w:styleId="NoSpacing">
    <w:name w:val="No Spacing"/>
    <w:uiPriority w:val="1"/>
    <w:qFormat/>
    <w:rsid w:val="004E11E6"/>
    <w:pPr>
      <w:spacing w:after="0" w:line="240" w:lineRule="auto"/>
      <w:jc w:val="both"/>
    </w:pPr>
    <w:rPr>
      <w:rFonts w:ascii="Arial" w:hAnsi="Arial" w:cs="Arial"/>
      <w:sz w:val="20"/>
      <w:szCs w:val="20"/>
      <w:lang w:eastAsia="en-US"/>
    </w:rPr>
  </w:style>
  <w:style w:type="paragraph" w:styleId="ListNumber">
    <w:name w:val="List Number"/>
    <w:basedOn w:val="Normal"/>
    <w:rsid w:val="00A844C3"/>
    <w:pPr>
      <w:numPr>
        <w:ilvl w:val="5"/>
        <w:numId w:val="18"/>
      </w:numPr>
      <w:spacing w:after="200" w:line="276" w:lineRule="auto"/>
      <w:jc w:val="left"/>
      <w:outlineLvl w:val="5"/>
    </w:pPr>
    <w:rPr>
      <w:rFonts w:asciiTheme="minorHAnsi" w:hAnsiTheme="minorHAnsi" w:cstheme="minorBidi"/>
      <w:sz w:val="22"/>
      <w:szCs w:val="22"/>
      <w:lang w:val="en-US" w:bidi="en-US"/>
    </w:rPr>
  </w:style>
  <w:style w:type="paragraph" w:styleId="ListNumber2">
    <w:name w:val="List Number 2"/>
    <w:basedOn w:val="Normal"/>
    <w:rsid w:val="00A844C3"/>
    <w:pPr>
      <w:numPr>
        <w:ilvl w:val="6"/>
        <w:numId w:val="18"/>
      </w:numPr>
      <w:tabs>
        <w:tab w:val="left" w:pos="720"/>
      </w:tabs>
      <w:spacing w:after="200" w:line="276" w:lineRule="auto"/>
      <w:jc w:val="left"/>
      <w:outlineLvl w:val="6"/>
    </w:pPr>
    <w:rPr>
      <w:rFonts w:asciiTheme="minorHAnsi" w:hAnsiTheme="minorHAnsi" w:cstheme="minorBidi"/>
      <w:sz w:val="22"/>
      <w:szCs w:val="22"/>
      <w:lang w:val="en-US" w:bidi="en-US"/>
    </w:rPr>
  </w:style>
  <w:style w:type="paragraph" w:styleId="ListNumber3">
    <w:name w:val="List Number 3"/>
    <w:basedOn w:val="Normal"/>
    <w:rsid w:val="00A844C3"/>
    <w:pPr>
      <w:numPr>
        <w:ilvl w:val="7"/>
        <w:numId w:val="18"/>
      </w:numPr>
      <w:tabs>
        <w:tab w:val="left" w:pos="1080"/>
      </w:tabs>
      <w:spacing w:after="200" w:line="276" w:lineRule="auto"/>
      <w:jc w:val="left"/>
      <w:outlineLvl w:val="7"/>
    </w:pPr>
    <w:rPr>
      <w:rFonts w:asciiTheme="minorHAnsi" w:hAnsiTheme="minorHAnsi" w:cstheme="minorBidi"/>
      <w:sz w:val="22"/>
      <w:szCs w:val="22"/>
      <w:lang w:val="en-US" w:bidi="en-US"/>
    </w:rPr>
  </w:style>
  <w:style w:type="paragraph" w:styleId="ListNumber4">
    <w:name w:val="List Number 4"/>
    <w:basedOn w:val="Normal"/>
    <w:rsid w:val="00A844C3"/>
    <w:pPr>
      <w:numPr>
        <w:ilvl w:val="8"/>
        <w:numId w:val="18"/>
      </w:numPr>
      <w:tabs>
        <w:tab w:val="left" w:pos="1440"/>
      </w:tabs>
      <w:spacing w:after="200" w:line="276" w:lineRule="auto"/>
      <w:jc w:val="left"/>
      <w:outlineLvl w:val="8"/>
    </w:pPr>
    <w:rPr>
      <w:rFonts w:asciiTheme="minorHAnsi" w:hAnsiTheme="minorHAnsi" w:cstheme="minorBidi"/>
      <w:sz w:val="22"/>
      <w:szCs w:val="22"/>
      <w:lang w:val="en-US" w:bidi="en-US"/>
    </w:rPr>
  </w:style>
  <w:style w:type="paragraph" w:customStyle="1" w:styleId="Filestamp">
    <w:name w:val="Filestamp"/>
    <w:basedOn w:val="Normal"/>
    <w:rsid w:val="008C6915"/>
    <w:pPr>
      <w:spacing w:after="200" w:line="276" w:lineRule="auto"/>
      <w:jc w:val="left"/>
    </w:pPr>
    <w:rPr>
      <w:noProof/>
      <w:sz w:val="1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0924">
      <w:bodyDiv w:val="1"/>
      <w:marLeft w:val="0"/>
      <w:marRight w:val="0"/>
      <w:marTop w:val="0"/>
      <w:marBottom w:val="0"/>
      <w:divBdr>
        <w:top w:val="none" w:sz="0" w:space="0" w:color="auto"/>
        <w:left w:val="none" w:sz="0" w:space="0" w:color="auto"/>
        <w:bottom w:val="none" w:sz="0" w:space="0" w:color="auto"/>
        <w:right w:val="none" w:sz="0" w:space="0" w:color="auto"/>
      </w:divBdr>
    </w:div>
    <w:div w:id="160315679">
      <w:bodyDiv w:val="1"/>
      <w:marLeft w:val="0"/>
      <w:marRight w:val="0"/>
      <w:marTop w:val="0"/>
      <w:marBottom w:val="0"/>
      <w:divBdr>
        <w:top w:val="none" w:sz="0" w:space="0" w:color="auto"/>
        <w:left w:val="none" w:sz="0" w:space="0" w:color="auto"/>
        <w:bottom w:val="none" w:sz="0" w:space="0" w:color="auto"/>
        <w:right w:val="none" w:sz="0" w:space="0" w:color="auto"/>
      </w:divBdr>
      <w:divsChild>
        <w:div w:id="1904021075">
          <w:marLeft w:val="0"/>
          <w:marRight w:val="0"/>
          <w:marTop w:val="0"/>
          <w:marBottom w:val="0"/>
          <w:divBdr>
            <w:top w:val="none" w:sz="0" w:space="0" w:color="auto"/>
            <w:left w:val="none" w:sz="0" w:space="0" w:color="auto"/>
            <w:bottom w:val="none" w:sz="0" w:space="0" w:color="auto"/>
            <w:right w:val="none" w:sz="0" w:space="0" w:color="auto"/>
          </w:divBdr>
          <w:divsChild>
            <w:div w:id="958879273">
              <w:marLeft w:val="0"/>
              <w:marRight w:val="0"/>
              <w:marTop w:val="0"/>
              <w:marBottom w:val="0"/>
              <w:divBdr>
                <w:top w:val="none" w:sz="0" w:space="0" w:color="auto"/>
                <w:left w:val="none" w:sz="0" w:space="0" w:color="auto"/>
                <w:bottom w:val="none" w:sz="0" w:space="0" w:color="auto"/>
                <w:right w:val="none" w:sz="0" w:space="0" w:color="auto"/>
              </w:divBdr>
              <w:divsChild>
                <w:div w:id="1529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0390">
      <w:bodyDiv w:val="1"/>
      <w:marLeft w:val="0"/>
      <w:marRight w:val="0"/>
      <w:marTop w:val="0"/>
      <w:marBottom w:val="0"/>
      <w:divBdr>
        <w:top w:val="none" w:sz="0" w:space="0" w:color="auto"/>
        <w:left w:val="none" w:sz="0" w:space="0" w:color="auto"/>
        <w:bottom w:val="none" w:sz="0" w:space="0" w:color="auto"/>
        <w:right w:val="none" w:sz="0" w:space="0" w:color="auto"/>
      </w:divBdr>
    </w:div>
    <w:div w:id="339625994">
      <w:bodyDiv w:val="1"/>
      <w:marLeft w:val="0"/>
      <w:marRight w:val="0"/>
      <w:marTop w:val="0"/>
      <w:marBottom w:val="0"/>
      <w:divBdr>
        <w:top w:val="none" w:sz="0" w:space="0" w:color="auto"/>
        <w:left w:val="none" w:sz="0" w:space="0" w:color="auto"/>
        <w:bottom w:val="none" w:sz="0" w:space="0" w:color="auto"/>
        <w:right w:val="none" w:sz="0" w:space="0" w:color="auto"/>
      </w:divBdr>
    </w:div>
    <w:div w:id="347373470">
      <w:bodyDiv w:val="1"/>
      <w:marLeft w:val="0"/>
      <w:marRight w:val="0"/>
      <w:marTop w:val="0"/>
      <w:marBottom w:val="0"/>
      <w:divBdr>
        <w:top w:val="none" w:sz="0" w:space="0" w:color="auto"/>
        <w:left w:val="none" w:sz="0" w:space="0" w:color="auto"/>
        <w:bottom w:val="none" w:sz="0" w:space="0" w:color="auto"/>
        <w:right w:val="none" w:sz="0" w:space="0" w:color="auto"/>
      </w:divBdr>
    </w:div>
    <w:div w:id="408231917">
      <w:bodyDiv w:val="1"/>
      <w:marLeft w:val="0"/>
      <w:marRight w:val="0"/>
      <w:marTop w:val="0"/>
      <w:marBottom w:val="0"/>
      <w:divBdr>
        <w:top w:val="none" w:sz="0" w:space="0" w:color="auto"/>
        <w:left w:val="none" w:sz="0" w:space="0" w:color="auto"/>
        <w:bottom w:val="none" w:sz="0" w:space="0" w:color="auto"/>
        <w:right w:val="none" w:sz="0" w:space="0" w:color="auto"/>
      </w:divBdr>
    </w:div>
    <w:div w:id="597640384">
      <w:bodyDiv w:val="1"/>
      <w:marLeft w:val="0"/>
      <w:marRight w:val="0"/>
      <w:marTop w:val="0"/>
      <w:marBottom w:val="0"/>
      <w:divBdr>
        <w:top w:val="none" w:sz="0" w:space="0" w:color="auto"/>
        <w:left w:val="none" w:sz="0" w:space="0" w:color="auto"/>
        <w:bottom w:val="none" w:sz="0" w:space="0" w:color="auto"/>
        <w:right w:val="none" w:sz="0" w:space="0" w:color="auto"/>
      </w:divBdr>
    </w:div>
    <w:div w:id="613051267">
      <w:bodyDiv w:val="1"/>
      <w:marLeft w:val="0"/>
      <w:marRight w:val="0"/>
      <w:marTop w:val="0"/>
      <w:marBottom w:val="0"/>
      <w:divBdr>
        <w:top w:val="none" w:sz="0" w:space="0" w:color="auto"/>
        <w:left w:val="none" w:sz="0" w:space="0" w:color="auto"/>
        <w:bottom w:val="none" w:sz="0" w:space="0" w:color="auto"/>
        <w:right w:val="none" w:sz="0" w:space="0" w:color="auto"/>
      </w:divBdr>
      <w:divsChild>
        <w:div w:id="1228762497">
          <w:marLeft w:val="0"/>
          <w:marRight w:val="0"/>
          <w:marTop w:val="0"/>
          <w:marBottom w:val="0"/>
          <w:divBdr>
            <w:top w:val="none" w:sz="0" w:space="0" w:color="auto"/>
            <w:left w:val="none" w:sz="0" w:space="0" w:color="auto"/>
            <w:bottom w:val="none" w:sz="0" w:space="0" w:color="auto"/>
            <w:right w:val="none" w:sz="0" w:space="0" w:color="auto"/>
          </w:divBdr>
        </w:div>
      </w:divsChild>
    </w:div>
    <w:div w:id="727462316">
      <w:bodyDiv w:val="1"/>
      <w:marLeft w:val="0"/>
      <w:marRight w:val="0"/>
      <w:marTop w:val="0"/>
      <w:marBottom w:val="0"/>
      <w:divBdr>
        <w:top w:val="none" w:sz="0" w:space="0" w:color="auto"/>
        <w:left w:val="none" w:sz="0" w:space="0" w:color="auto"/>
        <w:bottom w:val="none" w:sz="0" w:space="0" w:color="auto"/>
        <w:right w:val="none" w:sz="0" w:space="0" w:color="auto"/>
      </w:divBdr>
    </w:div>
    <w:div w:id="737822359">
      <w:bodyDiv w:val="1"/>
      <w:marLeft w:val="0"/>
      <w:marRight w:val="0"/>
      <w:marTop w:val="0"/>
      <w:marBottom w:val="0"/>
      <w:divBdr>
        <w:top w:val="none" w:sz="0" w:space="0" w:color="auto"/>
        <w:left w:val="none" w:sz="0" w:space="0" w:color="auto"/>
        <w:bottom w:val="none" w:sz="0" w:space="0" w:color="auto"/>
        <w:right w:val="none" w:sz="0" w:space="0" w:color="auto"/>
      </w:divBdr>
    </w:div>
    <w:div w:id="791679167">
      <w:bodyDiv w:val="1"/>
      <w:marLeft w:val="0"/>
      <w:marRight w:val="0"/>
      <w:marTop w:val="0"/>
      <w:marBottom w:val="0"/>
      <w:divBdr>
        <w:top w:val="none" w:sz="0" w:space="0" w:color="auto"/>
        <w:left w:val="none" w:sz="0" w:space="0" w:color="auto"/>
        <w:bottom w:val="none" w:sz="0" w:space="0" w:color="auto"/>
        <w:right w:val="none" w:sz="0" w:space="0" w:color="auto"/>
      </w:divBdr>
    </w:div>
    <w:div w:id="897130461">
      <w:bodyDiv w:val="1"/>
      <w:marLeft w:val="0"/>
      <w:marRight w:val="0"/>
      <w:marTop w:val="0"/>
      <w:marBottom w:val="0"/>
      <w:divBdr>
        <w:top w:val="none" w:sz="0" w:space="0" w:color="auto"/>
        <w:left w:val="none" w:sz="0" w:space="0" w:color="auto"/>
        <w:bottom w:val="none" w:sz="0" w:space="0" w:color="auto"/>
        <w:right w:val="none" w:sz="0" w:space="0" w:color="auto"/>
      </w:divBdr>
    </w:div>
    <w:div w:id="913317246">
      <w:bodyDiv w:val="1"/>
      <w:marLeft w:val="0"/>
      <w:marRight w:val="0"/>
      <w:marTop w:val="0"/>
      <w:marBottom w:val="0"/>
      <w:divBdr>
        <w:top w:val="none" w:sz="0" w:space="0" w:color="auto"/>
        <w:left w:val="none" w:sz="0" w:space="0" w:color="auto"/>
        <w:bottom w:val="none" w:sz="0" w:space="0" w:color="auto"/>
        <w:right w:val="none" w:sz="0" w:space="0" w:color="auto"/>
      </w:divBdr>
    </w:div>
    <w:div w:id="1013343880">
      <w:bodyDiv w:val="1"/>
      <w:marLeft w:val="0"/>
      <w:marRight w:val="0"/>
      <w:marTop w:val="0"/>
      <w:marBottom w:val="0"/>
      <w:divBdr>
        <w:top w:val="none" w:sz="0" w:space="0" w:color="auto"/>
        <w:left w:val="none" w:sz="0" w:space="0" w:color="auto"/>
        <w:bottom w:val="none" w:sz="0" w:space="0" w:color="auto"/>
        <w:right w:val="none" w:sz="0" w:space="0" w:color="auto"/>
      </w:divBdr>
      <w:divsChild>
        <w:div w:id="1974745804">
          <w:marLeft w:val="446"/>
          <w:marRight w:val="0"/>
          <w:marTop w:val="0"/>
          <w:marBottom w:val="0"/>
          <w:divBdr>
            <w:top w:val="none" w:sz="0" w:space="0" w:color="auto"/>
            <w:left w:val="none" w:sz="0" w:space="0" w:color="auto"/>
            <w:bottom w:val="none" w:sz="0" w:space="0" w:color="auto"/>
            <w:right w:val="none" w:sz="0" w:space="0" w:color="auto"/>
          </w:divBdr>
        </w:div>
      </w:divsChild>
    </w:div>
    <w:div w:id="1072435131">
      <w:bodyDiv w:val="1"/>
      <w:marLeft w:val="0"/>
      <w:marRight w:val="0"/>
      <w:marTop w:val="0"/>
      <w:marBottom w:val="0"/>
      <w:divBdr>
        <w:top w:val="none" w:sz="0" w:space="0" w:color="auto"/>
        <w:left w:val="none" w:sz="0" w:space="0" w:color="auto"/>
        <w:bottom w:val="none" w:sz="0" w:space="0" w:color="auto"/>
        <w:right w:val="none" w:sz="0" w:space="0" w:color="auto"/>
      </w:divBdr>
    </w:div>
    <w:div w:id="1111710081">
      <w:bodyDiv w:val="1"/>
      <w:marLeft w:val="0"/>
      <w:marRight w:val="0"/>
      <w:marTop w:val="0"/>
      <w:marBottom w:val="0"/>
      <w:divBdr>
        <w:top w:val="none" w:sz="0" w:space="0" w:color="auto"/>
        <w:left w:val="none" w:sz="0" w:space="0" w:color="auto"/>
        <w:bottom w:val="none" w:sz="0" w:space="0" w:color="auto"/>
        <w:right w:val="none" w:sz="0" w:space="0" w:color="auto"/>
      </w:divBdr>
    </w:div>
    <w:div w:id="1212230601">
      <w:bodyDiv w:val="1"/>
      <w:marLeft w:val="0"/>
      <w:marRight w:val="0"/>
      <w:marTop w:val="0"/>
      <w:marBottom w:val="0"/>
      <w:divBdr>
        <w:top w:val="none" w:sz="0" w:space="0" w:color="auto"/>
        <w:left w:val="none" w:sz="0" w:space="0" w:color="auto"/>
        <w:bottom w:val="none" w:sz="0" w:space="0" w:color="auto"/>
        <w:right w:val="none" w:sz="0" w:space="0" w:color="auto"/>
      </w:divBdr>
    </w:div>
    <w:div w:id="1217357451">
      <w:bodyDiv w:val="1"/>
      <w:marLeft w:val="0"/>
      <w:marRight w:val="0"/>
      <w:marTop w:val="0"/>
      <w:marBottom w:val="0"/>
      <w:divBdr>
        <w:top w:val="none" w:sz="0" w:space="0" w:color="auto"/>
        <w:left w:val="none" w:sz="0" w:space="0" w:color="auto"/>
        <w:bottom w:val="none" w:sz="0" w:space="0" w:color="auto"/>
        <w:right w:val="none" w:sz="0" w:space="0" w:color="auto"/>
      </w:divBdr>
      <w:divsChild>
        <w:div w:id="1184395337">
          <w:marLeft w:val="0"/>
          <w:marRight w:val="0"/>
          <w:marTop w:val="0"/>
          <w:marBottom w:val="0"/>
          <w:divBdr>
            <w:top w:val="none" w:sz="0" w:space="0" w:color="auto"/>
            <w:left w:val="none" w:sz="0" w:space="0" w:color="auto"/>
            <w:bottom w:val="none" w:sz="0" w:space="0" w:color="auto"/>
            <w:right w:val="none" w:sz="0" w:space="0" w:color="auto"/>
          </w:divBdr>
          <w:divsChild>
            <w:div w:id="258416484">
              <w:marLeft w:val="0"/>
              <w:marRight w:val="0"/>
              <w:marTop w:val="0"/>
              <w:marBottom w:val="0"/>
              <w:divBdr>
                <w:top w:val="none" w:sz="0" w:space="0" w:color="auto"/>
                <w:left w:val="none" w:sz="0" w:space="0" w:color="auto"/>
                <w:bottom w:val="none" w:sz="0" w:space="0" w:color="auto"/>
                <w:right w:val="none" w:sz="0" w:space="0" w:color="auto"/>
              </w:divBdr>
              <w:divsChild>
                <w:div w:id="1704551048">
                  <w:marLeft w:val="0"/>
                  <w:marRight w:val="0"/>
                  <w:marTop w:val="0"/>
                  <w:marBottom w:val="0"/>
                  <w:divBdr>
                    <w:top w:val="none" w:sz="0" w:space="0" w:color="auto"/>
                    <w:left w:val="none" w:sz="0" w:space="0" w:color="auto"/>
                    <w:bottom w:val="none" w:sz="0" w:space="0" w:color="auto"/>
                    <w:right w:val="none" w:sz="0" w:space="0" w:color="auto"/>
                  </w:divBdr>
                  <w:divsChild>
                    <w:div w:id="404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9211">
      <w:bodyDiv w:val="1"/>
      <w:marLeft w:val="0"/>
      <w:marRight w:val="0"/>
      <w:marTop w:val="0"/>
      <w:marBottom w:val="0"/>
      <w:divBdr>
        <w:top w:val="none" w:sz="0" w:space="0" w:color="auto"/>
        <w:left w:val="none" w:sz="0" w:space="0" w:color="auto"/>
        <w:bottom w:val="none" w:sz="0" w:space="0" w:color="auto"/>
        <w:right w:val="none" w:sz="0" w:space="0" w:color="auto"/>
      </w:divBdr>
    </w:div>
    <w:div w:id="1383364840">
      <w:bodyDiv w:val="1"/>
      <w:marLeft w:val="0"/>
      <w:marRight w:val="0"/>
      <w:marTop w:val="0"/>
      <w:marBottom w:val="0"/>
      <w:divBdr>
        <w:top w:val="none" w:sz="0" w:space="0" w:color="auto"/>
        <w:left w:val="none" w:sz="0" w:space="0" w:color="auto"/>
        <w:bottom w:val="none" w:sz="0" w:space="0" w:color="auto"/>
        <w:right w:val="none" w:sz="0" w:space="0" w:color="auto"/>
      </w:divBdr>
    </w:div>
    <w:div w:id="1485973050">
      <w:bodyDiv w:val="1"/>
      <w:marLeft w:val="0"/>
      <w:marRight w:val="0"/>
      <w:marTop w:val="0"/>
      <w:marBottom w:val="0"/>
      <w:divBdr>
        <w:top w:val="none" w:sz="0" w:space="0" w:color="auto"/>
        <w:left w:val="none" w:sz="0" w:space="0" w:color="auto"/>
        <w:bottom w:val="none" w:sz="0" w:space="0" w:color="auto"/>
        <w:right w:val="none" w:sz="0" w:space="0" w:color="auto"/>
      </w:divBdr>
    </w:div>
    <w:div w:id="1565791994">
      <w:bodyDiv w:val="1"/>
      <w:marLeft w:val="0"/>
      <w:marRight w:val="0"/>
      <w:marTop w:val="0"/>
      <w:marBottom w:val="0"/>
      <w:divBdr>
        <w:top w:val="none" w:sz="0" w:space="0" w:color="auto"/>
        <w:left w:val="none" w:sz="0" w:space="0" w:color="auto"/>
        <w:bottom w:val="none" w:sz="0" w:space="0" w:color="auto"/>
        <w:right w:val="none" w:sz="0" w:space="0" w:color="auto"/>
      </w:divBdr>
    </w:div>
    <w:div w:id="1588005255">
      <w:bodyDiv w:val="1"/>
      <w:marLeft w:val="0"/>
      <w:marRight w:val="0"/>
      <w:marTop w:val="0"/>
      <w:marBottom w:val="0"/>
      <w:divBdr>
        <w:top w:val="none" w:sz="0" w:space="0" w:color="auto"/>
        <w:left w:val="none" w:sz="0" w:space="0" w:color="auto"/>
        <w:bottom w:val="none" w:sz="0" w:space="0" w:color="auto"/>
        <w:right w:val="none" w:sz="0" w:space="0" w:color="auto"/>
      </w:divBdr>
      <w:divsChild>
        <w:div w:id="1452633078">
          <w:marLeft w:val="0"/>
          <w:marRight w:val="0"/>
          <w:marTop w:val="0"/>
          <w:marBottom w:val="0"/>
          <w:divBdr>
            <w:top w:val="none" w:sz="0" w:space="0" w:color="auto"/>
            <w:left w:val="none" w:sz="0" w:space="0" w:color="auto"/>
            <w:bottom w:val="none" w:sz="0" w:space="0" w:color="auto"/>
            <w:right w:val="none" w:sz="0" w:space="0" w:color="auto"/>
          </w:divBdr>
          <w:divsChild>
            <w:div w:id="1869946050">
              <w:marLeft w:val="0"/>
              <w:marRight w:val="0"/>
              <w:marTop w:val="0"/>
              <w:marBottom w:val="0"/>
              <w:divBdr>
                <w:top w:val="none" w:sz="0" w:space="0" w:color="auto"/>
                <w:left w:val="none" w:sz="0" w:space="0" w:color="auto"/>
                <w:bottom w:val="none" w:sz="0" w:space="0" w:color="auto"/>
                <w:right w:val="none" w:sz="0" w:space="0" w:color="auto"/>
              </w:divBdr>
              <w:divsChild>
                <w:div w:id="118887491">
                  <w:marLeft w:val="0"/>
                  <w:marRight w:val="0"/>
                  <w:marTop w:val="0"/>
                  <w:marBottom w:val="0"/>
                  <w:divBdr>
                    <w:top w:val="none" w:sz="0" w:space="0" w:color="auto"/>
                    <w:left w:val="none" w:sz="0" w:space="0" w:color="auto"/>
                    <w:bottom w:val="none" w:sz="0" w:space="0" w:color="auto"/>
                    <w:right w:val="none" w:sz="0" w:space="0" w:color="auto"/>
                  </w:divBdr>
                  <w:divsChild>
                    <w:div w:id="15294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7463">
      <w:bodyDiv w:val="1"/>
      <w:marLeft w:val="0"/>
      <w:marRight w:val="0"/>
      <w:marTop w:val="0"/>
      <w:marBottom w:val="0"/>
      <w:divBdr>
        <w:top w:val="none" w:sz="0" w:space="0" w:color="auto"/>
        <w:left w:val="none" w:sz="0" w:space="0" w:color="auto"/>
        <w:bottom w:val="none" w:sz="0" w:space="0" w:color="auto"/>
        <w:right w:val="none" w:sz="0" w:space="0" w:color="auto"/>
      </w:divBdr>
    </w:div>
    <w:div w:id="1625766200">
      <w:bodyDiv w:val="1"/>
      <w:marLeft w:val="0"/>
      <w:marRight w:val="0"/>
      <w:marTop w:val="0"/>
      <w:marBottom w:val="0"/>
      <w:divBdr>
        <w:top w:val="none" w:sz="0" w:space="0" w:color="auto"/>
        <w:left w:val="none" w:sz="0" w:space="0" w:color="auto"/>
        <w:bottom w:val="none" w:sz="0" w:space="0" w:color="auto"/>
        <w:right w:val="none" w:sz="0" w:space="0" w:color="auto"/>
      </w:divBdr>
      <w:divsChild>
        <w:div w:id="1411850545">
          <w:marLeft w:val="0"/>
          <w:marRight w:val="0"/>
          <w:marTop w:val="0"/>
          <w:marBottom w:val="0"/>
          <w:divBdr>
            <w:top w:val="none" w:sz="0" w:space="0" w:color="auto"/>
            <w:left w:val="none" w:sz="0" w:space="0" w:color="auto"/>
            <w:bottom w:val="none" w:sz="0" w:space="0" w:color="auto"/>
            <w:right w:val="none" w:sz="0" w:space="0" w:color="auto"/>
          </w:divBdr>
          <w:divsChild>
            <w:div w:id="1062213295">
              <w:marLeft w:val="0"/>
              <w:marRight w:val="0"/>
              <w:marTop w:val="0"/>
              <w:marBottom w:val="0"/>
              <w:divBdr>
                <w:top w:val="none" w:sz="0" w:space="0" w:color="auto"/>
                <w:left w:val="none" w:sz="0" w:space="0" w:color="auto"/>
                <w:bottom w:val="none" w:sz="0" w:space="0" w:color="auto"/>
                <w:right w:val="none" w:sz="0" w:space="0" w:color="auto"/>
              </w:divBdr>
              <w:divsChild>
                <w:div w:id="990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0485">
      <w:bodyDiv w:val="1"/>
      <w:marLeft w:val="0"/>
      <w:marRight w:val="0"/>
      <w:marTop w:val="0"/>
      <w:marBottom w:val="0"/>
      <w:divBdr>
        <w:top w:val="none" w:sz="0" w:space="0" w:color="auto"/>
        <w:left w:val="none" w:sz="0" w:space="0" w:color="auto"/>
        <w:bottom w:val="none" w:sz="0" w:space="0" w:color="auto"/>
        <w:right w:val="none" w:sz="0" w:space="0" w:color="auto"/>
      </w:divBdr>
      <w:divsChild>
        <w:div w:id="194314930">
          <w:marLeft w:val="0"/>
          <w:marRight w:val="0"/>
          <w:marTop w:val="0"/>
          <w:marBottom w:val="0"/>
          <w:divBdr>
            <w:top w:val="none" w:sz="0" w:space="0" w:color="auto"/>
            <w:left w:val="none" w:sz="0" w:space="0" w:color="auto"/>
            <w:bottom w:val="none" w:sz="0" w:space="0" w:color="auto"/>
            <w:right w:val="none" w:sz="0" w:space="0" w:color="auto"/>
          </w:divBdr>
          <w:divsChild>
            <w:div w:id="206919046">
              <w:marLeft w:val="0"/>
              <w:marRight w:val="0"/>
              <w:marTop w:val="0"/>
              <w:marBottom w:val="0"/>
              <w:divBdr>
                <w:top w:val="none" w:sz="0" w:space="0" w:color="auto"/>
                <w:left w:val="none" w:sz="0" w:space="0" w:color="auto"/>
                <w:bottom w:val="none" w:sz="0" w:space="0" w:color="auto"/>
                <w:right w:val="none" w:sz="0" w:space="0" w:color="auto"/>
              </w:divBdr>
              <w:divsChild>
                <w:div w:id="14654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821">
      <w:bodyDiv w:val="1"/>
      <w:marLeft w:val="0"/>
      <w:marRight w:val="0"/>
      <w:marTop w:val="0"/>
      <w:marBottom w:val="0"/>
      <w:divBdr>
        <w:top w:val="none" w:sz="0" w:space="0" w:color="auto"/>
        <w:left w:val="none" w:sz="0" w:space="0" w:color="auto"/>
        <w:bottom w:val="none" w:sz="0" w:space="0" w:color="auto"/>
        <w:right w:val="none" w:sz="0" w:space="0" w:color="auto"/>
      </w:divBdr>
    </w:div>
    <w:div w:id="1872035951">
      <w:bodyDiv w:val="1"/>
      <w:marLeft w:val="0"/>
      <w:marRight w:val="0"/>
      <w:marTop w:val="0"/>
      <w:marBottom w:val="0"/>
      <w:divBdr>
        <w:top w:val="none" w:sz="0" w:space="0" w:color="auto"/>
        <w:left w:val="none" w:sz="0" w:space="0" w:color="auto"/>
        <w:bottom w:val="none" w:sz="0" w:space="0" w:color="auto"/>
        <w:right w:val="none" w:sz="0" w:space="0" w:color="auto"/>
      </w:divBdr>
      <w:divsChild>
        <w:div w:id="1348211222">
          <w:marLeft w:val="0"/>
          <w:marRight w:val="0"/>
          <w:marTop w:val="0"/>
          <w:marBottom w:val="0"/>
          <w:divBdr>
            <w:top w:val="none" w:sz="0" w:space="0" w:color="auto"/>
            <w:left w:val="none" w:sz="0" w:space="0" w:color="auto"/>
            <w:bottom w:val="none" w:sz="0" w:space="0" w:color="auto"/>
            <w:right w:val="none" w:sz="0" w:space="0" w:color="auto"/>
          </w:divBdr>
          <w:divsChild>
            <w:div w:id="1827668627">
              <w:marLeft w:val="0"/>
              <w:marRight w:val="0"/>
              <w:marTop w:val="0"/>
              <w:marBottom w:val="0"/>
              <w:divBdr>
                <w:top w:val="none" w:sz="0" w:space="0" w:color="auto"/>
                <w:left w:val="none" w:sz="0" w:space="0" w:color="auto"/>
                <w:bottom w:val="none" w:sz="0" w:space="0" w:color="auto"/>
                <w:right w:val="none" w:sz="0" w:space="0" w:color="auto"/>
              </w:divBdr>
              <w:divsChild>
                <w:div w:id="1774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3248">
      <w:bodyDiv w:val="1"/>
      <w:marLeft w:val="0"/>
      <w:marRight w:val="0"/>
      <w:marTop w:val="0"/>
      <w:marBottom w:val="0"/>
      <w:divBdr>
        <w:top w:val="none" w:sz="0" w:space="0" w:color="auto"/>
        <w:left w:val="none" w:sz="0" w:space="0" w:color="auto"/>
        <w:bottom w:val="none" w:sz="0" w:space="0" w:color="auto"/>
        <w:right w:val="none" w:sz="0" w:space="0" w:color="auto"/>
      </w:divBdr>
    </w:div>
    <w:div w:id="20981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ai.org/toolbox/atr/" TargetMode="External"/><Relationship Id="rId18" Type="http://schemas.openxmlformats.org/officeDocument/2006/relationships/hyperlink" Target="https://www.sbai.org/wp-content/uploads/2016/04/Toolbox-Memo-Cash-Handling-Cyber-Security-Final.pdf" TargetMode="External"/><Relationship Id="rId26" Type="http://schemas.openxmlformats.org/officeDocument/2006/relationships/hyperlink" Target="https://www.sbai.org/wp-content/uploads/2016/04/SBAI-Standards-2021.pdf" TargetMode="External"/><Relationship Id="rId3" Type="http://schemas.openxmlformats.org/officeDocument/2006/relationships/customXml" Target="../customXml/item3.xml"/><Relationship Id="rId21" Type="http://schemas.openxmlformats.org/officeDocument/2006/relationships/hyperlink" Target="https://www.sbai.org/wp-content/uploads/2020/05/SBAI-Toolbox-Memo-Alternative-Credit-Choice-of-Fund-Structure-20-May-2020.pdf" TargetMode="External"/><Relationship Id="rId7" Type="http://schemas.openxmlformats.org/officeDocument/2006/relationships/settings" Target="settings.xml"/><Relationship Id="rId12" Type="http://schemas.openxmlformats.org/officeDocument/2006/relationships/hyperlink" Target="https://www.sbai.org/wp-content/uploads/2016/04/SBAI-Standards-2017.pdf" TargetMode="External"/><Relationship Id="rId17" Type="http://schemas.openxmlformats.org/officeDocument/2006/relationships/hyperlink" Target="https://www.sbai.org/wp-content/uploads/2016/04/SBAI-Cyber-Security-updated-14-May-2019.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bai.org/toolbox/fee-terms-and-definitions/" TargetMode="External"/><Relationship Id="rId20" Type="http://schemas.openxmlformats.org/officeDocument/2006/relationships/hyperlink" Target="https://www.sbai.org/toolbox/co-invest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bai.org/wp-content/uploads/2019/05/SBAI-Valuation-of-Insurance-Linked-Funds-7-May-2019.pdf" TargetMode="External"/><Relationship Id="rId5" Type="http://schemas.openxmlformats.org/officeDocument/2006/relationships/numbering" Target="numbering.xml"/><Relationship Id="rId15" Type="http://schemas.openxmlformats.org/officeDocument/2006/relationships/hyperlink" Target="https://www.sbai.org/wp-content/uploads/2016/04/Standardised-Board-Agenda-6-November-2019.pdf" TargetMode="External"/><Relationship Id="rId23" Type="http://schemas.openxmlformats.org/officeDocument/2006/relationships/hyperlink" Target="https://www.sbai.org/wp-content/uploads/2020/05/SBAI-Alternative-Credit-Conflict-of-interest-20-May-2020.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bai.org/wp-content/uploads/2016/04/Toolbox-Memo-Case-Study-Conflicts-of-interest-between-parallel-funds-6-March-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i.org/toolbox/big-data/" TargetMode="External"/><Relationship Id="rId22" Type="http://schemas.openxmlformats.org/officeDocument/2006/relationships/hyperlink" Target="https://www.sbai.org/wp-content/uploads/2020/05/SBAI-Alternative-Credit-Valuations-Memo-20-May-2020.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SBAI !!!!">
      <a:dk1>
        <a:sysClr val="windowText" lastClr="000000"/>
      </a:dk1>
      <a:lt1>
        <a:sysClr val="window" lastClr="FFFFFF"/>
      </a:lt1>
      <a:dk2>
        <a:srgbClr val="25285F"/>
      </a:dk2>
      <a:lt2>
        <a:srgbClr val="818282"/>
      </a:lt2>
      <a:accent1>
        <a:srgbClr val="D8E2EF"/>
      </a:accent1>
      <a:accent2>
        <a:srgbClr val="F1EFEB"/>
      </a:accent2>
      <a:accent3>
        <a:srgbClr val="C00000"/>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1FC719AB0AA4C95F39E11E87919D0" ma:contentTypeVersion="13" ma:contentTypeDescription="Create a new document." ma:contentTypeScope="" ma:versionID="ecd148007eac85d48aca37b487d3b6f5">
  <xsd:schema xmlns:xsd="http://www.w3.org/2001/XMLSchema" xmlns:xs="http://www.w3.org/2001/XMLSchema" xmlns:p="http://schemas.microsoft.com/office/2006/metadata/properties" xmlns:ns2="9813d7db-6aa7-4030-b441-76e5dac9b11b" xmlns:ns3="264e1a90-42ec-4041-8dd1-bb93d566a69b" targetNamespace="http://schemas.microsoft.com/office/2006/metadata/properties" ma:root="true" ma:fieldsID="56f21ef70f69e3bcf73ee3061f2247f7" ns2:_="" ns3:_="">
    <xsd:import namespace="9813d7db-6aa7-4030-b441-76e5dac9b11b"/>
    <xsd:import namespace="264e1a90-42ec-4041-8dd1-bb93d566a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d7db-6aa7-4030-b441-76e5dac9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4e1a90-42ec-4041-8dd1-bb93d566a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A4FA4-9B38-4E47-96D4-8B809D032484}"/>
</file>

<file path=customXml/itemProps2.xml><?xml version="1.0" encoding="utf-8"?>
<ds:datastoreItem xmlns:ds="http://schemas.openxmlformats.org/officeDocument/2006/customXml" ds:itemID="{F142EB33-7ABE-4C16-8241-B4EE27A29094}">
  <ds:schemaRefs>
    <ds:schemaRef ds:uri="http://schemas.microsoft.com/sharepoint/v3/contenttype/forms"/>
  </ds:schemaRefs>
</ds:datastoreItem>
</file>

<file path=customXml/itemProps3.xml><?xml version="1.0" encoding="utf-8"?>
<ds:datastoreItem xmlns:ds="http://schemas.openxmlformats.org/officeDocument/2006/customXml" ds:itemID="{AA4A51F8-4DDC-4C81-A376-FA8415CC1077}">
  <ds:schemaRefs>
    <ds:schemaRef ds:uri="http://schemas.openxmlformats.org/officeDocument/2006/bibliography"/>
  </ds:schemaRefs>
</ds:datastoreItem>
</file>

<file path=customXml/itemProps4.xml><?xml version="1.0" encoding="utf-8"?>
<ds:datastoreItem xmlns:ds="http://schemas.openxmlformats.org/officeDocument/2006/customXml" ds:itemID="{D2B68F9C-9C0E-4153-AFF4-015FCE81B500}">
  <ds:schemaRefs>
    <ds:schemaRef ds:uri="264e1a90-42ec-4041-8dd1-bb93d566a69b"/>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813d7db-6aa7-4030-b441-76e5dac9b11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9857</Words>
  <Characters>56185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Hamer</dc:creator>
  <cp:keywords/>
  <dc:description/>
  <cp:lastModifiedBy>Maria Long</cp:lastModifiedBy>
  <cp:revision>70</cp:revision>
  <cp:lastPrinted>2021-03-26T09:23:00Z</cp:lastPrinted>
  <dcterms:created xsi:type="dcterms:W3CDTF">2021-03-19T13:51:00Z</dcterms:created>
  <dcterms:modified xsi:type="dcterms:W3CDTF">2021-03-26T09:23:00Z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0x0101002301FC719AB0AA4C95F39E11E87919D0</vt:lpwstr>
  </property>
</Properties>
</file>